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8843" w14:textId="77777777" w:rsidR="00E36809" w:rsidRDefault="0085750B">
      <w:pPr>
        <w:rPr>
          <w:b/>
          <w:bCs/>
          <w:u w:val="single"/>
        </w:rPr>
      </w:pPr>
      <w:r>
        <w:rPr>
          <w:b/>
          <w:bCs/>
          <w:u w:val="single"/>
        </w:rPr>
        <w:t>Τ</w:t>
      </w:r>
      <w:r w:rsidRPr="00C23537">
        <w:rPr>
          <w:b/>
          <w:bCs/>
          <w:u w:val="single"/>
          <w:lang w:val="en-US"/>
        </w:rPr>
        <w:t>RAVEL</w:t>
      </w:r>
      <w:r w:rsidRPr="000458AC">
        <w:rPr>
          <w:b/>
          <w:bCs/>
          <w:u w:val="single"/>
        </w:rPr>
        <w:t xml:space="preserve"> </w:t>
      </w:r>
      <w:r w:rsidRPr="00C23537">
        <w:rPr>
          <w:b/>
          <w:bCs/>
          <w:u w:val="single"/>
          <w:lang w:val="en-US"/>
        </w:rPr>
        <w:t>AND</w:t>
      </w:r>
      <w:r w:rsidRPr="000458AC">
        <w:rPr>
          <w:b/>
          <w:bCs/>
          <w:u w:val="single"/>
        </w:rPr>
        <w:t xml:space="preserve"> </w:t>
      </w:r>
      <w:r w:rsidRPr="00C23537">
        <w:rPr>
          <w:b/>
          <w:bCs/>
          <w:u w:val="single"/>
          <w:lang w:val="en-US"/>
        </w:rPr>
        <w:t>SUBSISTENCE</w:t>
      </w:r>
      <w:r w:rsidRPr="000458AC">
        <w:rPr>
          <w:b/>
          <w:bCs/>
          <w:u w:val="single"/>
        </w:rPr>
        <w:t xml:space="preserve"> </w:t>
      </w:r>
      <w:r w:rsidRPr="00C23537">
        <w:rPr>
          <w:b/>
          <w:bCs/>
          <w:u w:val="single"/>
          <w:lang w:val="en-US"/>
        </w:rPr>
        <w:t>ALLOWANCE</w:t>
      </w:r>
      <w:r w:rsidRPr="000458AC">
        <w:rPr>
          <w:b/>
          <w:bCs/>
          <w:u w:val="single"/>
        </w:rPr>
        <w:t xml:space="preserve"> </w:t>
      </w:r>
    </w:p>
    <w:p w14:paraId="56679E56" w14:textId="66E6BC1B" w:rsidR="000458AC" w:rsidRPr="00E5179F" w:rsidRDefault="000458AC">
      <w:r w:rsidRPr="00C23537">
        <w:t xml:space="preserve">Κάθε συμμετέχων προβαίνει μόνος του σε κρατήσεις αεροπορικών εισιτηρίων και διαμονής και δικαιούται βάσει των κανόνων της Ευρωπαϊκής Επιτροπής </w:t>
      </w:r>
      <w:r>
        <w:t>αποζημίωση για αεροπορικά και έξοδα διαβίωσης όπως περιγράφεται παρακάτω στο</w:t>
      </w:r>
      <w:r w:rsidR="00E36809">
        <w:t xml:space="preserve"> απόσπασμα του</w:t>
      </w:r>
      <w:r>
        <w:t xml:space="preserve"> </w:t>
      </w:r>
      <w:r>
        <w:rPr>
          <w:lang w:val="en-US"/>
        </w:rPr>
        <w:t>monitoring</w:t>
      </w:r>
      <w:r w:rsidRPr="000458AC">
        <w:t xml:space="preserve"> </w:t>
      </w:r>
      <w:r>
        <w:rPr>
          <w:lang w:val="en-US"/>
        </w:rPr>
        <w:t>plan</w:t>
      </w:r>
      <w:r w:rsidRPr="000458AC">
        <w:t xml:space="preserve"> </w:t>
      </w:r>
      <w:r>
        <w:t xml:space="preserve"> του προγράμματος</w:t>
      </w:r>
      <w:r w:rsidR="007068A5">
        <w:t xml:space="preserve"> </w:t>
      </w:r>
      <w:r w:rsidR="00E36809">
        <w:rPr>
          <w:lang w:val="en-US"/>
        </w:rPr>
        <w:t>TRADICIL</w:t>
      </w:r>
      <w:r w:rsidR="00E5179F">
        <w:t>.</w:t>
      </w:r>
    </w:p>
    <w:p w14:paraId="70387651" w14:textId="0CA5F9AA" w:rsidR="005277CD" w:rsidRPr="00227066" w:rsidRDefault="005277CD">
      <w:pPr>
        <w:rPr>
          <w:b/>
          <w:bCs/>
          <w:color w:val="00B0F0"/>
          <w:u w:val="single"/>
          <w:lang w:val="en-US"/>
        </w:rPr>
      </w:pPr>
      <w:r w:rsidRPr="00227066">
        <w:rPr>
          <w:b/>
          <w:bCs/>
          <w:color w:val="00B0F0"/>
          <w:u w:val="single"/>
          <w:lang w:val="en-US"/>
        </w:rPr>
        <w:t>TRAVEL ALLOWANCE</w:t>
      </w:r>
    </w:p>
    <w:p w14:paraId="6F65F6BA" w14:textId="71E39D24" w:rsidR="005277CD" w:rsidRDefault="005277CD" w:rsidP="005277CD">
      <w:pPr>
        <w:rPr>
          <w:lang w:val="en-US"/>
        </w:rPr>
      </w:pPr>
      <w:r w:rsidRPr="005277CD">
        <w:rPr>
          <w:lang w:val="en-US"/>
        </w:rPr>
        <w:t xml:space="preserve">Each granted person is entitled to a fixed travel allowance which is determined by the European Commission to cover the travel cost from the place of employment to the place of destination and vice versa. The calculation of the travel allowance is based on the linear distance between the place of employment and the place of destination of the person travelling. To make this calculation, participants should access the European Commission’s distance calculator to be found </w:t>
      </w:r>
      <w:hyperlink r:id="rId4" w:history="1">
        <w:r w:rsidR="002700EF" w:rsidRPr="002700EF">
          <w:rPr>
            <w:rStyle w:val="-"/>
            <w:lang w:val="en-US"/>
          </w:rPr>
          <w:t>Calculate unit costs for eligible travel costs - European Commission</w:t>
        </w:r>
      </w:hyperlink>
      <w:r w:rsidRPr="005277CD">
        <w:rPr>
          <w:lang w:val="en-US"/>
        </w:rPr>
        <w:t>, and use the amounts of Table 2 (which was the one applicable at the time of submitting the proposal to the European Commission).</w:t>
      </w:r>
    </w:p>
    <w:p w14:paraId="74CBFBBF" w14:textId="2293D936" w:rsidR="005277CD" w:rsidRPr="00227066" w:rsidRDefault="005277CD" w:rsidP="005277CD">
      <w:pPr>
        <w:rPr>
          <w:b/>
          <w:bCs/>
          <w:color w:val="00B0F0"/>
          <w:u w:val="single"/>
          <w:lang w:val="en-US"/>
        </w:rPr>
      </w:pPr>
      <w:r w:rsidRPr="00227066">
        <w:rPr>
          <w:b/>
          <w:bCs/>
          <w:color w:val="00B0F0"/>
          <w:u w:val="single"/>
          <w:lang w:val="en-US"/>
        </w:rPr>
        <w:t>SUBSISTENCE ALLOWANCE</w:t>
      </w:r>
    </w:p>
    <w:p w14:paraId="04B721C7" w14:textId="35B72BDE" w:rsidR="005277CD" w:rsidRDefault="005277CD" w:rsidP="005277CD">
      <w:pPr>
        <w:rPr>
          <w:rFonts w:ascii="Arial" w:hAnsi="Arial" w:cs="Arial"/>
          <w:lang w:val="en-US"/>
        </w:rPr>
      </w:pPr>
      <w:r w:rsidRPr="005277CD">
        <w:rPr>
          <w:rFonts w:ascii="Arial" w:hAnsi="Arial" w:cs="Arial"/>
          <w:lang w:val="en-US"/>
        </w:rPr>
        <w:t>The subsistence allowance is based on a fixed cost, which depends on the country where the activity takes place, as follows: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9"/>
        <w:gridCol w:w="1959"/>
        <w:gridCol w:w="1959"/>
      </w:tblGrid>
      <w:tr w:rsidR="005277CD" w:rsidRPr="005277CD" w14:paraId="4DF2A983" w14:textId="77777777" w:rsidTr="005277CD">
        <w:trPr>
          <w:trHeight w:val="93"/>
        </w:trPr>
        <w:tc>
          <w:tcPr>
            <w:tcW w:w="1959" w:type="dxa"/>
            <w:tcBorders>
              <w:top w:val="none" w:sz="6" w:space="0" w:color="auto"/>
              <w:bottom w:val="none" w:sz="6" w:space="0" w:color="auto"/>
              <w:right w:val="none" w:sz="6" w:space="0" w:color="auto"/>
            </w:tcBorders>
          </w:tcPr>
          <w:p w14:paraId="63459D4B"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b/>
                <w:bCs/>
                <w:color w:val="000000"/>
                <w:kern w:val="0"/>
                <w:sz w:val="20"/>
                <w:szCs w:val="20"/>
              </w:rPr>
              <w:t xml:space="preserve">Country </w:t>
            </w:r>
          </w:p>
        </w:tc>
        <w:tc>
          <w:tcPr>
            <w:tcW w:w="1959" w:type="dxa"/>
            <w:tcBorders>
              <w:top w:val="none" w:sz="6" w:space="0" w:color="auto"/>
              <w:left w:val="none" w:sz="6" w:space="0" w:color="auto"/>
              <w:bottom w:val="none" w:sz="6" w:space="0" w:color="auto"/>
              <w:right w:val="none" w:sz="6" w:space="0" w:color="auto"/>
            </w:tcBorders>
          </w:tcPr>
          <w:p w14:paraId="00B02602"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b/>
                <w:bCs/>
                <w:color w:val="000000"/>
                <w:kern w:val="0"/>
                <w:sz w:val="20"/>
                <w:szCs w:val="20"/>
              </w:rPr>
              <w:t xml:space="preserve">Daily accommodation </w:t>
            </w:r>
          </w:p>
        </w:tc>
        <w:tc>
          <w:tcPr>
            <w:tcW w:w="1959" w:type="dxa"/>
            <w:tcBorders>
              <w:top w:val="none" w:sz="6" w:space="0" w:color="auto"/>
              <w:left w:val="none" w:sz="6" w:space="0" w:color="auto"/>
              <w:bottom w:val="none" w:sz="6" w:space="0" w:color="auto"/>
            </w:tcBorders>
          </w:tcPr>
          <w:p w14:paraId="00AED374"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b/>
                <w:bCs/>
                <w:color w:val="000000"/>
                <w:kern w:val="0"/>
                <w:sz w:val="20"/>
                <w:szCs w:val="20"/>
              </w:rPr>
              <w:t xml:space="preserve">Daily subsistence </w:t>
            </w:r>
          </w:p>
        </w:tc>
      </w:tr>
      <w:tr w:rsidR="005277CD" w:rsidRPr="005277CD" w14:paraId="38E4861B" w14:textId="77777777" w:rsidTr="005277CD">
        <w:trPr>
          <w:trHeight w:val="93"/>
        </w:trPr>
        <w:tc>
          <w:tcPr>
            <w:tcW w:w="1959" w:type="dxa"/>
            <w:tcBorders>
              <w:top w:val="none" w:sz="6" w:space="0" w:color="auto"/>
              <w:bottom w:val="none" w:sz="6" w:space="0" w:color="auto"/>
              <w:right w:val="none" w:sz="6" w:space="0" w:color="auto"/>
            </w:tcBorders>
          </w:tcPr>
          <w:p w14:paraId="715DD78B"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Belgium </w:t>
            </w:r>
          </w:p>
        </w:tc>
        <w:tc>
          <w:tcPr>
            <w:tcW w:w="1959" w:type="dxa"/>
            <w:tcBorders>
              <w:top w:val="none" w:sz="6" w:space="0" w:color="auto"/>
              <w:left w:val="none" w:sz="6" w:space="0" w:color="auto"/>
              <w:bottom w:val="none" w:sz="6" w:space="0" w:color="auto"/>
              <w:right w:val="none" w:sz="6" w:space="0" w:color="auto"/>
            </w:tcBorders>
          </w:tcPr>
          <w:p w14:paraId="3822F5FE"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€ 137 </w:t>
            </w:r>
          </w:p>
        </w:tc>
        <w:tc>
          <w:tcPr>
            <w:tcW w:w="1959" w:type="dxa"/>
            <w:tcBorders>
              <w:top w:val="none" w:sz="6" w:space="0" w:color="auto"/>
              <w:left w:val="none" w:sz="6" w:space="0" w:color="auto"/>
              <w:bottom w:val="none" w:sz="6" w:space="0" w:color="auto"/>
            </w:tcBorders>
          </w:tcPr>
          <w:p w14:paraId="3043ECE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€ 102 </w:t>
            </w:r>
          </w:p>
        </w:tc>
      </w:tr>
      <w:tr w:rsidR="005277CD" w:rsidRPr="005277CD" w14:paraId="6132309B" w14:textId="77777777" w:rsidTr="005277CD">
        <w:trPr>
          <w:trHeight w:val="93"/>
        </w:trPr>
        <w:tc>
          <w:tcPr>
            <w:tcW w:w="1959" w:type="dxa"/>
            <w:tcBorders>
              <w:top w:val="none" w:sz="6" w:space="0" w:color="auto"/>
              <w:bottom w:val="none" w:sz="6" w:space="0" w:color="auto"/>
              <w:right w:val="none" w:sz="6" w:space="0" w:color="auto"/>
            </w:tcBorders>
          </w:tcPr>
          <w:p w14:paraId="31F97D05"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Romania </w:t>
            </w:r>
          </w:p>
        </w:tc>
        <w:tc>
          <w:tcPr>
            <w:tcW w:w="1959" w:type="dxa"/>
            <w:tcBorders>
              <w:top w:val="none" w:sz="6" w:space="0" w:color="auto"/>
              <w:left w:val="none" w:sz="6" w:space="0" w:color="auto"/>
              <w:bottom w:val="none" w:sz="6" w:space="0" w:color="auto"/>
              <w:right w:val="none" w:sz="6" w:space="0" w:color="auto"/>
            </w:tcBorders>
          </w:tcPr>
          <w:p w14:paraId="4B3E0008"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€ 109 </w:t>
            </w:r>
          </w:p>
        </w:tc>
        <w:tc>
          <w:tcPr>
            <w:tcW w:w="1959" w:type="dxa"/>
            <w:tcBorders>
              <w:top w:val="none" w:sz="6" w:space="0" w:color="auto"/>
              <w:left w:val="none" w:sz="6" w:space="0" w:color="auto"/>
              <w:bottom w:val="none" w:sz="6" w:space="0" w:color="auto"/>
            </w:tcBorders>
          </w:tcPr>
          <w:p w14:paraId="24941D3B"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€ 62 </w:t>
            </w:r>
          </w:p>
        </w:tc>
      </w:tr>
      <w:tr w:rsidR="005277CD" w:rsidRPr="005277CD" w14:paraId="547B853F" w14:textId="77777777" w:rsidTr="005277CD">
        <w:trPr>
          <w:trHeight w:val="93"/>
        </w:trPr>
        <w:tc>
          <w:tcPr>
            <w:tcW w:w="1959" w:type="dxa"/>
            <w:tcBorders>
              <w:top w:val="none" w:sz="6" w:space="0" w:color="auto"/>
              <w:bottom w:val="none" w:sz="6" w:space="0" w:color="auto"/>
              <w:right w:val="none" w:sz="6" w:space="0" w:color="auto"/>
            </w:tcBorders>
          </w:tcPr>
          <w:p w14:paraId="5D7F91C8" w14:textId="77777777" w:rsidR="005277CD" w:rsidRPr="002700EF" w:rsidRDefault="005277CD" w:rsidP="005277CD">
            <w:pPr>
              <w:autoSpaceDE w:val="0"/>
              <w:autoSpaceDN w:val="0"/>
              <w:adjustRightInd w:val="0"/>
              <w:spacing w:after="0" w:line="240" w:lineRule="auto"/>
              <w:rPr>
                <w:rFonts w:ascii="Arial" w:hAnsi="Arial" w:cs="Arial"/>
                <w:color w:val="000000"/>
                <w:kern w:val="0"/>
                <w:sz w:val="20"/>
                <w:szCs w:val="20"/>
              </w:rPr>
            </w:pPr>
            <w:r w:rsidRPr="002700EF">
              <w:rPr>
                <w:rFonts w:ascii="Arial" w:hAnsi="Arial" w:cs="Arial"/>
                <w:color w:val="000000"/>
                <w:kern w:val="0"/>
                <w:sz w:val="20"/>
                <w:szCs w:val="20"/>
              </w:rPr>
              <w:t xml:space="preserve">Spain </w:t>
            </w:r>
          </w:p>
        </w:tc>
        <w:tc>
          <w:tcPr>
            <w:tcW w:w="1959" w:type="dxa"/>
            <w:tcBorders>
              <w:top w:val="none" w:sz="6" w:space="0" w:color="auto"/>
              <w:left w:val="none" w:sz="6" w:space="0" w:color="auto"/>
              <w:bottom w:val="none" w:sz="6" w:space="0" w:color="auto"/>
              <w:right w:val="none" w:sz="6" w:space="0" w:color="auto"/>
            </w:tcBorders>
          </w:tcPr>
          <w:p w14:paraId="02089FF1" w14:textId="77777777" w:rsidR="005277CD" w:rsidRPr="002700EF" w:rsidRDefault="005277CD" w:rsidP="005277CD">
            <w:pPr>
              <w:autoSpaceDE w:val="0"/>
              <w:autoSpaceDN w:val="0"/>
              <w:adjustRightInd w:val="0"/>
              <w:spacing w:after="0" w:line="240" w:lineRule="auto"/>
              <w:rPr>
                <w:rFonts w:ascii="Arial" w:hAnsi="Arial" w:cs="Arial"/>
                <w:color w:val="000000"/>
                <w:kern w:val="0"/>
                <w:sz w:val="20"/>
                <w:szCs w:val="20"/>
              </w:rPr>
            </w:pPr>
            <w:r w:rsidRPr="002700EF">
              <w:rPr>
                <w:rFonts w:ascii="Arial" w:hAnsi="Arial" w:cs="Arial"/>
                <w:color w:val="000000"/>
                <w:kern w:val="0"/>
                <w:sz w:val="20"/>
                <w:szCs w:val="20"/>
              </w:rPr>
              <w:t xml:space="preserve">€ 117 </w:t>
            </w:r>
          </w:p>
        </w:tc>
        <w:tc>
          <w:tcPr>
            <w:tcW w:w="1959" w:type="dxa"/>
            <w:tcBorders>
              <w:top w:val="none" w:sz="6" w:space="0" w:color="auto"/>
              <w:left w:val="none" w:sz="6" w:space="0" w:color="auto"/>
              <w:bottom w:val="none" w:sz="6" w:space="0" w:color="auto"/>
            </w:tcBorders>
          </w:tcPr>
          <w:p w14:paraId="1FECA4D0" w14:textId="77777777" w:rsidR="005277CD" w:rsidRPr="002700EF" w:rsidRDefault="005277CD" w:rsidP="005277CD">
            <w:pPr>
              <w:autoSpaceDE w:val="0"/>
              <w:autoSpaceDN w:val="0"/>
              <w:adjustRightInd w:val="0"/>
              <w:spacing w:after="0" w:line="240" w:lineRule="auto"/>
              <w:rPr>
                <w:rFonts w:ascii="Arial" w:hAnsi="Arial" w:cs="Arial"/>
                <w:color w:val="000000"/>
                <w:kern w:val="0"/>
                <w:sz w:val="20"/>
                <w:szCs w:val="20"/>
              </w:rPr>
            </w:pPr>
            <w:r w:rsidRPr="002700EF">
              <w:rPr>
                <w:rFonts w:ascii="Arial" w:hAnsi="Arial" w:cs="Arial"/>
                <w:color w:val="000000"/>
                <w:kern w:val="0"/>
                <w:sz w:val="20"/>
                <w:szCs w:val="20"/>
              </w:rPr>
              <w:t xml:space="preserve">€ 88 </w:t>
            </w:r>
          </w:p>
        </w:tc>
      </w:tr>
      <w:tr w:rsidR="005277CD" w:rsidRPr="005277CD" w14:paraId="59D6DCC7" w14:textId="77777777" w:rsidTr="005277CD">
        <w:trPr>
          <w:trHeight w:val="93"/>
        </w:trPr>
        <w:tc>
          <w:tcPr>
            <w:tcW w:w="1959" w:type="dxa"/>
            <w:tcBorders>
              <w:top w:val="none" w:sz="6" w:space="0" w:color="auto"/>
              <w:bottom w:val="none" w:sz="6" w:space="0" w:color="auto"/>
              <w:right w:val="none" w:sz="6" w:space="0" w:color="auto"/>
            </w:tcBorders>
          </w:tcPr>
          <w:p w14:paraId="21B3AFE2"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Greece </w:t>
            </w:r>
          </w:p>
        </w:tc>
        <w:tc>
          <w:tcPr>
            <w:tcW w:w="1959" w:type="dxa"/>
            <w:tcBorders>
              <w:top w:val="none" w:sz="6" w:space="0" w:color="auto"/>
              <w:left w:val="none" w:sz="6" w:space="0" w:color="auto"/>
              <w:bottom w:val="none" w:sz="6" w:space="0" w:color="auto"/>
              <w:right w:val="none" w:sz="6" w:space="0" w:color="auto"/>
            </w:tcBorders>
          </w:tcPr>
          <w:p w14:paraId="056F3D75"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€ 107 </w:t>
            </w:r>
          </w:p>
        </w:tc>
        <w:tc>
          <w:tcPr>
            <w:tcW w:w="1959" w:type="dxa"/>
            <w:tcBorders>
              <w:top w:val="none" w:sz="6" w:space="0" w:color="auto"/>
              <w:left w:val="none" w:sz="6" w:space="0" w:color="auto"/>
              <w:bottom w:val="none" w:sz="6" w:space="0" w:color="auto"/>
            </w:tcBorders>
          </w:tcPr>
          <w:p w14:paraId="17956881"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€ 82 </w:t>
            </w:r>
          </w:p>
        </w:tc>
      </w:tr>
      <w:tr w:rsidR="005277CD" w:rsidRPr="005277CD" w14:paraId="11330DFB" w14:textId="77777777" w:rsidTr="005277CD">
        <w:trPr>
          <w:trHeight w:val="93"/>
        </w:trPr>
        <w:tc>
          <w:tcPr>
            <w:tcW w:w="1959" w:type="dxa"/>
            <w:tcBorders>
              <w:top w:val="none" w:sz="6" w:space="0" w:color="auto"/>
              <w:bottom w:val="none" w:sz="6" w:space="0" w:color="auto"/>
              <w:right w:val="none" w:sz="6" w:space="0" w:color="auto"/>
            </w:tcBorders>
          </w:tcPr>
          <w:p w14:paraId="22E095D0"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Cyprus </w:t>
            </w:r>
          </w:p>
        </w:tc>
        <w:tc>
          <w:tcPr>
            <w:tcW w:w="1959" w:type="dxa"/>
            <w:tcBorders>
              <w:top w:val="none" w:sz="6" w:space="0" w:color="auto"/>
              <w:left w:val="none" w:sz="6" w:space="0" w:color="auto"/>
              <w:bottom w:val="none" w:sz="6" w:space="0" w:color="auto"/>
              <w:right w:val="none" w:sz="6" w:space="0" w:color="auto"/>
            </w:tcBorders>
          </w:tcPr>
          <w:p w14:paraId="1CE0060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€ 120 </w:t>
            </w:r>
          </w:p>
        </w:tc>
        <w:tc>
          <w:tcPr>
            <w:tcW w:w="1959" w:type="dxa"/>
            <w:tcBorders>
              <w:top w:val="none" w:sz="6" w:space="0" w:color="auto"/>
              <w:left w:val="none" w:sz="6" w:space="0" w:color="auto"/>
              <w:bottom w:val="none" w:sz="6" w:space="0" w:color="auto"/>
            </w:tcBorders>
          </w:tcPr>
          <w:p w14:paraId="595446F5"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€ 88 </w:t>
            </w:r>
          </w:p>
        </w:tc>
      </w:tr>
      <w:tr w:rsidR="005277CD" w:rsidRPr="005277CD" w14:paraId="1F6A2AAE" w14:textId="77777777" w:rsidTr="005277CD">
        <w:trPr>
          <w:trHeight w:val="93"/>
        </w:trPr>
        <w:tc>
          <w:tcPr>
            <w:tcW w:w="1959" w:type="dxa"/>
            <w:tcBorders>
              <w:top w:val="none" w:sz="6" w:space="0" w:color="auto"/>
              <w:bottom w:val="none" w:sz="6" w:space="0" w:color="auto"/>
              <w:right w:val="none" w:sz="6" w:space="0" w:color="auto"/>
            </w:tcBorders>
          </w:tcPr>
          <w:p w14:paraId="5F700B10"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Ireland </w:t>
            </w:r>
          </w:p>
        </w:tc>
        <w:tc>
          <w:tcPr>
            <w:tcW w:w="1959" w:type="dxa"/>
            <w:tcBorders>
              <w:top w:val="none" w:sz="6" w:space="0" w:color="auto"/>
              <w:left w:val="none" w:sz="6" w:space="0" w:color="auto"/>
              <w:bottom w:val="none" w:sz="6" w:space="0" w:color="auto"/>
              <w:right w:val="none" w:sz="6" w:space="0" w:color="auto"/>
            </w:tcBorders>
          </w:tcPr>
          <w:p w14:paraId="6865520E"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€ 139 </w:t>
            </w:r>
          </w:p>
        </w:tc>
        <w:tc>
          <w:tcPr>
            <w:tcW w:w="1959" w:type="dxa"/>
            <w:tcBorders>
              <w:top w:val="none" w:sz="6" w:space="0" w:color="auto"/>
              <w:left w:val="none" w:sz="6" w:space="0" w:color="auto"/>
              <w:bottom w:val="none" w:sz="6" w:space="0" w:color="auto"/>
            </w:tcBorders>
          </w:tcPr>
          <w:p w14:paraId="1209DCD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€ 108 </w:t>
            </w:r>
          </w:p>
        </w:tc>
      </w:tr>
      <w:tr w:rsidR="005277CD" w:rsidRPr="005277CD" w14:paraId="475F3E8F" w14:textId="77777777" w:rsidTr="005277CD">
        <w:trPr>
          <w:trHeight w:val="93"/>
        </w:trPr>
        <w:tc>
          <w:tcPr>
            <w:tcW w:w="1959" w:type="dxa"/>
            <w:tcBorders>
              <w:top w:val="none" w:sz="6" w:space="0" w:color="auto"/>
              <w:bottom w:val="none" w:sz="6" w:space="0" w:color="auto"/>
              <w:right w:val="none" w:sz="6" w:space="0" w:color="auto"/>
            </w:tcBorders>
          </w:tcPr>
          <w:p w14:paraId="46F41161" w14:textId="77777777" w:rsidR="005277CD" w:rsidRPr="002700EF" w:rsidRDefault="005277CD" w:rsidP="005277CD">
            <w:pPr>
              <w:autoSpaceDE w:val="0"/>
              <w:autoSpaceDN w:val="0"/>
              <w:adjustRightInd w:val="0"/>
              <w:spacing w:after="0" w:line="240" w:lineRule="auto"/>
              <w:rPr>
                <w:rFonts w:ascii="Arial" w:hAnsi="Arial" w:cs="Arial"/>
                <w:kern w:val="0"/>
                <w:sz w:val="20"/>
                <w:szCs w:val="20"/>
                <w:highlight w:val="yellow"/>
              </w:rPr>
            </w:pPr>
            <w:r w:rsidRPr="002700EF">
              <w:rPr>
                <w:rFonts w:ascii="Arial" w:hAnsi="Arial" w:cs="Arial"/>
                <w:kern w:val="0"/>
                <w:sz w:val="20"/>
                <w:szCs w:val="20"/>
                <w:highlight w:val="yellow"/>
              </w:rPr>
              <w:t xml:space="preserve">Poland </w:t>
            </w:r>
          </w:p>
        </w:tc>
        <w:tc>
          <w:tcPr>
            <w:tcW w:w="1959" w:type="dxa"/>
            <w:tcBorders>
              <w:top w:val="none" w:sz="6" w:space="0" w:color="auto"/>
              <w:left w:val="none" w:sz="6" w:space="0" w:color="auto"/>
              <w:bottom w:val="none" w:sz="6" w:space="0" w:color="auto"/>
              <w:right w:val="none" w:sz="6" w:space="0" w:color="auto"/>
            </w:tcBorders>
          </w:tcPr>
          <w:p w14:paraId="1C4B8A9C" w14:textId="77777777" w:rsidR="005277CD" w:rsidRPr="002700EF" w:rsidRDefault="005277CD" w:rsidP="005277CD">
            <w:pPr>
              <w:autoSpaceDE w:val="0"/>
              <w:autoSpaceDN w:val="0"/>
              <w:adjustRightInd w:val="0"/>
              <w:spacing w:after="0" w:line="240" w:lineRule="auto"/>
              <w:rPr>
                <w:rFonts w:ascii="Arial" w:hAnsi="Arial" w:cs="Arial"/>
                <w:kern w:val="0"/>
                <w:sz w:val="20"/>
                <w:szCs w:val="20"/>
                <w:highlight w:val="yellow"/>
              </w:rPr>
            </w:pPr>
            <w:r w:rsidRPr="002700EF">
              <w:rPr>
                <w:rFonts w:ascii="Arial" w:hAnsi="Arial" w:cs="Arial"/>
                <w:kern w:val="0"/>
                <w:sz w:val="20"/>
                <w:szCs w:val="20"/>
                <w:highlight w:val="yellow"/>
              </w:rPr>
              <w:t xml:space="preserve">€ 103 </w:t>
            </w:r>
          </w:p>
        </w:tc>
        <w:tc>
          <w:tcPr>
            <w:tcW w:w="1959" w:type="dxa"/>
            <w:tcBorders>
              <w:top w:val="none" w:sz="6" w:space="0" w:color="auto"/>
              <w:left w:val="none" w:sz="6" w:space="0" w:color="auto"/>
              <w:bottom w:val="none" w:sz="6" w:space="0" w:color="auto"/>
            </w:tcBorders>
          </w:tcPr>
          <w:p w14:paraId="19114A62"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2700EF">
              <w:rPr>
                <w:rFonts w:ascii="Arial" w:hAnsi="Arial" w:cs="Arial"/>
                <w:color w:val="000000"/>
                <w:kern w:val="0"/>
                <w:sz w:val="20"/>
                <w:szCs w:val="20"/>
                <w:highlight w:val="yellow"/>
              </w:rPr>
              <w:t>€ 67</w:t>
            </w:r>
            <w:r w:rsidRPr="005277CD">
              <w:rPr>
                <w:rFonts w:ascii="Arial" w:hAnsi="Arial" w:cs="Arial"/>
                <w:color w:val="000000"/>
                <w:kern w:val="0"/>
                <w:sz w:val="20"/>
                <w:szCs w:val="20"/>
              </w:rPr>
              <w:t xml:space="preserve"> </w:t>
            </w:r>
          </w:p>
        </w:tc>
      </w:tr>
      <w:tr w:rsidR="005277CD" w:rsidRPr="005277CD" w14:paraId="05BD8EED" w14:textId="77777777" w:rsidTr="005277CD">
        <w:trPr>
          <w:trHeight w:val="93"/>
        </w:trPr>
        <w:tc>
          <w:tcPr>
            <w:tcW w:w="1959" w:type="dxa"/>
            <w:tcBorders>
              <w:top w:val="none" w:sz="6" w:space="0" w:color="auto"/>
              <w:bottom w:val="none" w:sz="6" w:space="0" w:color="auto"/>
              <w:right w:val="none" w:sz="6" w:space="0" w:color="auto"/>
            </w:tcBorders>
          </w:tcPr>
          <w:p w14:paraId="2BEFCD31"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France </w:t>
            </w:r>
          </w:p>
        </w:tc>
        <w:tc>
          <w:tcPr>
            <w:tcW w:w="1959" w:type="dxa"/>
            <w:tcBorders>
              <w:top w:val="none" w:sz="6" w:space="0" w:color="auto"/>
              <w:left w:val="none" w:sz="6" w:space="0" w:color="auto"/>
              <w:bottom w:val="none" w:sz="6" w:space="0" w:color="auto"/>
              <w:right w:val="none" w:sz="6" w:space="0" w:color="auto"/>
            </w:tcBorders>
          </w:tcPr>
          <w:p w14:paraId="299F9117"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€ 166 </w:t>
            </w:r>
          </w:p>
        </w:tc>
        <w:tc>
          <w:tcPr>
            <w:tcW w:w="1959" w:type="dxa"/>
            <w:tcBorders>
              <w:top w:val="none" w:sz="6" w:space="0" w:color="auto"/>
              <w:left w:val="none" w:sz="6" w:space="0" w:color="auto"/>
              <w:bottom w:val="none" w:sz="6" w:space="0" w:color="auto"/>
            </w:tcBorders>
          </w:tcPr>
          <w:p w14:paraId="698DF35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€ 102 </w:t>
            </w:r>
          </w:p>
        </w:tc>
      </w:tr>
    </w:tbl>
    <w:p w14:paraId="3F68E398" w14:textId="01B54F12" w:rsidR="005277CD" w:rsidRPr="00227066" w:rsidRDefault="005277CD" w:rsidP="005277CD">
      <w:pPr>
        <w:rPr>
          <w:lang w:val="en-US"/>
        </w:rPr>
      </w:pPr>
      <w:r w:rsidRPr="005277CD">
        <w:rPr>
          <w:lang w:val="en-US"/>
        </w:rPr>
        <w:t xml:space="preserve">Granted persons attending the in-person seminars can claim </w:t>
      </w:r>
      <w:r w:rsidRPr="005277CD">
        <w:rPr>
          <w:b/>
          <w:bCs/>
          <w:lang w:val="en-US"/>
        </w:rPr>
        <w:t xml:space="preserve">one unit cost for accommodation </w:t>
      </w:r>
      <w:r w:rsidRPr="005277CD">
        <w:rPr>
          <w:lang w:val="en-US"/>
        </w:rPr>
        <w:t xml:space="preserve">and </w:t>
      </w:r>
      <w:r w:rsidRPr="005277CD">
        <w:rPr>
          <w:b/>
          <w:bCs/>
          <w:lang w:val="en-US"/>
        </w:rPr>
        <w:t>one unit cost for subsistence costs</w:t>
      </w:r>
      <w:r w:rsidRPr="005277CD">
        <w:rPr>
          <w:lang w:val="en-US"/>
        </w:rPr>
        <w:t>, provided that they stay for the whole duration of the seminar and sign the attendance list.</w:t>
      </w:r>
    </w:p>
    <w:p w14:paraId="404F6705" w14:textId="5DFBAEB1" w:rsidR="00C23537" w:rsidRPr="00227066" w:rsidRDefault="00E36809" w:rsidP="00E36809">
      <w:pPr>
        <w:rPr>
          <w:b/>
          <w:bCs/>
          <w:i/>
          <w:iCs/>
          <w:u w:val="single"/>
        </w:rPr>
      </w:pPr>
      <w:r w:rsidRPr="00227066">
        <w:rPr>
          <w:i/>
          <w:iCs/>
        </w:rPr>
        <w:t xml:space="preserve">-Επίσης παρέχεται δωρεάν </w:t>
      </w:r>
      <w:r w:rsidRPr="00227066">
        <w:rPr>
          <w:i/>
          <w:iCs/>
          <w:lang w:val="en-US"/>
        </w:rPr>
        <w:t>catering</w:t>
      </w:r>
      <w:r w:rsidRPr="00227066">
        <w:rPr>
          <w:i/>
          <w:iCs/>
        </w:rPr>
        <w:t xml:space="preserve"> κατά τη διάρκεια του σεμιναρίου.</w:t>
      </w:r>
    </w:p>
    <w:p w14:paraId="412FF239" w14:textId="740F97D4" w:rsidR="00C23537" w:rsidRPr="00C23537" w:rsidRDefault="00C23537" w:rsidP="00C23537">
      <w:pPr>
        <w:spacing w:line="256" w:lineRule="auto"/>
        <w:rPr>
          <w:color w:val="0462C1"/>
        </w:rPr>
      </w:pPr>
      <w:r w:rsidRPr="00C23537">
        <w:t xml:space="preserve">Για ερωτήσεις σχετικά με την αποζημίωση των εξόδων, οι συμμετέχοντες καλούνται να επικοινωνούν με τον συντονιστή από το Ίδρυμα κύριο Βασίλη Σταθόπουλο </w:t>
      </w:r>
      <w:hyperlink r:id="rId5" w:history="1">
        <w:r w:rsidRPr="00C23537">
          <w:rPr>
            <w:color w:val="467886" w:themeColor="hyperlink"/>
            <w:u w:val="single"/>
            <w:lang w:val="en-US"/>
          </w:rPr>
          <w:t>Stathopoulos</w:t>
        </w:r>
        <w:r w:rsidRPr="00C23537">
          <w:rPr>
            <w:color w:val="467886" w:themeColor="hyperlink"/>
            <w:u w:val="single"/>
          </w:rPr>
          <w:t>@</w:t>
        </w:r>
        <w:r w:rsidRPr="00C23537">
          <w:rPr>
            <w:color w:val="467886" w:themeColor="hyperlink"/>
            <w:u w:val="single"/>
            <w:lang w:val="en-US"/>
          </w:rPr>
          <w:t>elf</w:t>
        </w:r>
        <w:r w:rsidRPr="00C23537">
          <w:rPr>
            <w:color w:val="467886" w:themeColor="hyperlink"/>
            <w:u w:val="single"/>
          </w:rPr>
          <w:t>-</w:t>
        </w:r>
        <w:r w:rsidRPr="00C23537">
          <w:rPr>
            <w:color w:val="467886" w:themeColor="hyperlink"/>
            <w:u w:val="single"/>
            <w:lang w:val="en-US"/>
          </w:rPr>
          <w:t>fae</w:t>
        </w:r>
        <w:r w:rsidRPr="00C23537">
          <w:rPr>
            <w:color w:val="467886" w:themeColor="hyperlink"/>
            <w:u w:val="single"/>
          </w:rPr>
          <w:t>.</w:t>
        </w:r>
        <w:r w:rsidRPr="00C23537">
          <w:rPr>
            <w:color w:val="467886" w:themeColor="hyperlink"/>
            <w:u w:val="single"/>
            <w:lang w:val="en-US"/>
          </w:rPr>
          <w:t>eu</w:t>
        </w:r>
      </w:hyperlink>
    </w:p>
    <w:p w14:paraId="676C5284" w14:textId="77777777" w:rsidR="00C23537" w:rsidRPr="00C23537" w:rsidRDefault="00C23537" w:rsidP="00C23537">
      <w:pPr>
        <w:spacing w:line="256" w:lineRule="auto"/>
      </w:pPr>
    </w:p>
    <w:p w14:paraId="5A2B6725" w14:textId="77777777" w:rsidR="005277CD" w:rsidRPr="00C23537" w:rsidRDefault="005277CD" w:rsidP="005277CD"/>
    <w:sectPr w:rsidR="005277CD" w:rsidRPr="00C2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8"/>
    <w:rsid w:val="000458AC"/>
    <w:rsid w:val="00227066"/>
    <w:rsid w:val="002700EF"/>
    <w:rsid w:val="003653DE"/>
    <w:rsid w:val="005277CD"/>
    <w:rsid w:val="006A67E0"/>
    <w:rsid w:val="007068A5"/>
    <w:rsid w:val="00766FCD"/>
    <w:rsid w:val="0085750B"/>
    <w:rsid w:val="00A4350B"/>
    <w:rsid w:val="00C23537"/>
    <w:rsid w:val="00C70924"/>
    <w:rsid w:val="00E36809"/>
    <w:rsid w:val="00E5179F"/>
    <w:rsid w:val="00E56BC8"/>
    <w:rsid w:val="00F425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3922"/>
  <w15:chartTrackingRefBased/>
  <w15:docId w15:val="{A30FEFA1-8A2D-473C-9510-102F1D8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6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56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56B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56B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56B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56B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6B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6B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6B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B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56B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56B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56B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56B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56B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6B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6B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6BC8"/>
    <w:rPr>
      <w:rFonts w:eastAsiaTheme="majorEastAsia" w:cstheme="majorBidi"/>
      <w:color w:val="272727" w:themeColor="text1" w:themeTint="D8"/>
    </w:rPr>
  </w:style>
  <w:style w:type="paragraph" w:styleId="a3">
    <w:name w:val="Title"/>
    <w:basedOn w:val="a"/>
    <w:next w:val="a"/>
    <w:link w:val="Char"/>
    <w:uiPriority w:val="10"/>
    <w:qFormat/>
    <w:rsid w:val="00E56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6B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BC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6B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6BC8"/>
    <w:pPr>
      <w:spacing w:before="160"/>
      <w:jc w:val="center"/>
    </w:pPr>
    <w:rPr>
      <w:i/>
      <w:iCs/>
      <w:color w:val="404040" w:themeColor="text1" w:themeTint="BF"/>
    </w:rPr>
  </w:style>
  <w:style w:type="character" w:customStyle="1" w:styleId="Char1">
    <w:name w:val="Απόσπασμα Char"/>
    <w:basedOn w:val="a0"/>
    <w:link w:val="a5"/>
    <w:uiPriority w:val="29"/>
    <w:rsid w:val="00E56BC8"/>
    <w:rPr>
      <w:i/>
      <w:iCs/>
      <w:color w:val="404040" w:themeColor="text1" w:themeTint="BF"/>
    </w:rPr>
  </w:style>
  <w:style w:type="paragraph" w:styleId="a6">
    <w:name w:val="List Paragraph"/>
    <w:basedOn w:val="a"/>
    <w:uiPriority w:val="34"/>
    <w:qFormat/>
    <w:rsid w:val="00E56BC8"/>
    <w:pPr>
      <w:ind w:left="720"/>
      <w:contextualSpacing/>
    </w:pPr>
  </w:style>
  <w:style w:type="character" w:styleId="a7">
    <w:name w:val="Intense Emphasis"/>
    <w:basedOn w:val="a0"/>
    <w:uiPriority w:val="21"/>
    <w:qFormat/>
    <w:rsid w:val="00E56BC8"/>
    <w:rPr>
      <w:i/>
      <w:iCs/>
      <w:color w:val="0F4761" w:themeColor="accent1" w:themeShade="BF"/>
    </w:rPr>
  </w:style>
  <w:style w:type="paragraph" w:styleId="a8">
    <w:name w:val="Intense Quote"/>
    <w:basedOn w:val="a"/>
    <w:next w:val="a"/>
    <w:link w:val="Char2"/>
    <w:uiPriority w:val="30"/>
    <w:qFormat/>
    <w:rsid w:val="00E56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56BC8"/>
    <w:rPr>
      <w:i/>
      <w:iCs/>
      <w:color w:val="0F4761" w:themeColor="accent1" w:themeShade="BF"/>
    </w:rPr>
  </w:style>
  <w:style w:type="character" w:styleId="a9">
    <w:name w:val="Intense Reference"/>
    <w:basedOn w:val="a0"/>
    <w:uiPriority w:val="32"/>
    <w:qFormat/>
    <w:rsid w:val="00E56BC8"/>
    <w:rPr>
      <w:b/>
      <w:bCs/>
      <w:smallCaps/>
      <w:color w:val="0F4761" w:themeColor="accent1" w:themeShade="BF"/>
      <w:spacing w:val="5"/>
    </w:rPr>
  </w:style>
  <w:style w:type="paragraph" w:customStyle="1" w:styleId="Default">
    <w:name w:val="Default"/>
    <w:rsid w:val="005277CD"/>
    <w:pPr>
      <w:autoSpaceDE w:val="0"/>
      <w:autoSpaceDN w:val="0"/>
      <w:adjustRightInd w:val="0"/>
      <w:spacing w:after="0" w:line="240" w:lineRule="auto"/>
    </w:pPr>
    <w:rPr>
      <w:rFonts w:ascii="Symbol" w:hAnsi="Symbol" w:cs="Symbol"/>
      <w:color w:val="000000"/>
      <w:kern w:val="0"/>
      <w:sz w:val="24"/>
      <w:szCs w:val="24"/>
    </w:rPr>
  </w:style>
  <w:style w:type="character" w:styleId="-">
    <w:name w:val="Hyperlink"/>
    <w:basedOn w:val="a0"/>
    <w:uiPriority w:val="99"/>
    <w:semiHidden/>
    <w:unhideWhenUsed/>
    <w:rsid w:val="00270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thopoulos@elf-fae.eu" TargetMode="External"/><Relationship Id="rId4" Type="http://schemas.openxmlformats.org/officeDocument/2006/relationships/hyperlink" Target="https://commission.europa.eu/funding-tenders/procedures-guidelines-tenders/information-contractors-and-beneficiaries/calculate-unit-costs-eligible-travel-costs_e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323</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Τσίρη Αναστασία</dc:creator>
  <cp:keywords/>
  <dc:description/>
  <cp:lastModifiedBy>Τσίρη Αναστασία</cp:lastModifiedBy>
  <cp:revision>14</cp:revision>
  <dcterms:created xsi:type="dcterms:W3CDTF">2026-01-07T10:52:00Z</dcterms:created>
  <dcterms:modified xsi:type="dcterms:W3CDTF">2026-01-14T09:51:00Z</dcterms:modified>
</cp:coreProperties>
</file>