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0B55" w14:textId="53936569" w:rsidR="00D934B0" w:rsidRPr="007D2A29" w:rsidRDefault="00D934B0" w:rsidP="00520349">
      <w:pPr>
        <w:spacing w:after="240" w:line="360" w:lineRule="auto"/>
        <w:rPr>
          <w:rFonts w:ascii="Verdana" w:eastAsia="Trebuchet MS" w:hAnsi="Verdana" w:cs="Trebuchet MS"/>
          <w:b/>
          <w:lang w:val="en-US"/>
        </w:rPr>
      </w:pPr>
      <w:r w:rsidRPr="007D2A29">
        <w:rPr>
          <w:rFonts w:ascii="Verdana" w:eastAsia="Trebuchet MS" w:hAnsi="Verdana" w:cs="Trebuchet MS"/>
          <w:b/>
        </w:rPr>
        <w:t>Συμβούλιο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Ευρωπαϊκών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Δικηγορικών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Συλλόγων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bookmarkStart w:id="0" w:name="_GoBack"/>
      <w:bookmarkEnd w:id="0"/>
      <w:r w:rsidRPr="007D2A29">
        <w:rPr>
          <w:rFonts w:ascii="Verdana" w:eastAsia="Trebuchet MS" w:hAnsi="Verdana" w:cs="Trebuchet MS"/>
          <w:b/>
          <w:lang w:val="en-US"/>
        </w:rPr>
        <w:br/>
        <w:t>(CCBE/Council of Bars and Law Societies of Europe)</w:t>
      </w:r>
    </w:p>
    <w:p w14:paraId="03B34E93" w14:textId="223B2950" w:rsidR="00D934B0" w:rsidRDefault="00D934B0" w:rsidP="00520349">
      <w:pPr>
        <w:spacing w:after="240" w:line="360" w:lineRule="auto"/>
        <w:rPr>
          <w:rFonts w:ascii="Verdana" w:eastAsia="Trebuchet MS" w:hAnsi="Verdana" w:cs="Trebuchet MS"/>
          <w:b/>
          <w:lang w:val="en-US"/>
        </w:rPr>
      </w:pPr>
      <w:r w:rsidRPr="007D2A29">
        <w:rPr>
          <w:rFonts w:ascii="Verdana" w:eastAsia="Trebuchet MS" w:hAnsi="Verdana" w:cs="Trebuchet MS"/>
          <w:b/>
        </w:rPr>
        <w:t>Επιτροπή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Διεθνών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Νομικών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</w:rPr>
        <w:t>Υπηρεσιών</w:t>
      </w:r>
      <w:r w:rsidRPr="007D2A29">
        <w:rPr>
          <w:rFonts w:ascii="Verdana" w:eastAsia="Trebuchet MS" w:hAnsi="Verdana" w:cs="Trebuchet MS"/>
          <w:b/>
          <w:lang w:val="en-US"/>
        </w:rPr>
        <w:t xml:space="preserve"> </w:t>
      </w:r>
      <w:r w:rsidRPr="007D2A29">
        <w:rPr>
          <w:rFonts w:ascii="Verdana" w:eastAsia="Trebuchet MS" w:hAnsi="Verdana" w:cs="Trebuchet MS"/>
          <w:b/>
          <w:lang w:val="en-US"/>
        </w:rPr>
        <w:br/>
        <w:t>(International Legal Services Committee)</w:t>
      </w:r>
    </w:p>
    <w:p w14:paraId="52AC9457" w14:textId="543F82CE" w:rsidR="00000843" w:rsidRPr="00000843" w:rsidRDefault="00000843" w:rsidP="00520349">
      <w:pPr>
        <w:spacing w:after="240" w:line="360" w:lineRule="auto"/>
        <w:rPr>
          <w:rFonts w:ascii="Verdana" w:eastAsia="Trebuchet MS" w:hAnsi="Verdana" w:cs="Trebuchet MS"/>
          <w:b/>
          <w:lang w:val="en-US"/>
        </w:rPr>
      </w:pPr>
      <w:r>
        <w:rPr>
          <w:rFonts w:ascii="Verdana" w:eastAsia="Trebuchet MS" w:hAnsi="Verdana" w:cs="Trebuchet MS"/>
          <w:b/>
        </w:rPr>
        <w:t xml:space="preserve">Τηλεδιάσκεψη </w:t>
      </w:r>
      <w:proofErr w:type="spellStart"/>
      <w:r>
        <w:rPr>
          <w:rFonts w:ascii="Verdana" w:eastAsia="Trebuchet MS" w:hAnsi="Verdana" w:cs="Trebuchet MS"/>
          <w:b/>
          <w:lang w:val="en-US"/>
        </w:rPr>
        <w:t>MSTeams</w:t>
      </w:r>
      <w:proofErr w:type="spellEnd"/>
      <w:r w:rsidRPr="00000843">
        <w:rPr>
          <w:rFonts w:ascii="Verdana" w:eastAsia="Trebuchet MS" w:hAnsi="Verdana" w:cs="Trebuchet MS"/>
          <w:b/>
        </w:rPr>
        <w:t xml:space="preserve"> – 29.01.202</w:t>
      </w:r>
      <w:r>
        <w:rPr>
          <w:rFonts w:ascii="Verdana" w:eastAsia="Trebuchet MS" w:hAnsi="Verdana" w:cs="Trebuchet MS"/>
          <w:b/>
          <w:lang w:val="en-US"/>
        </w:rPr>
        <w:t>1</w:t>
      </w:r>
    </w:p>
    <w:p w14:paraId="79EB6A65" w14:textId="77777777" w:rsidR="00CF0694" w:rsidRDefault="00CF0694" w:rsidP="00520349">
      <w:pPr>
        <w:spacing w:after="24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1.- </w:t>
      </w:r>
      <w:r w:rsidR="00166D36" w:rsidRPr="007D2A29">
        <w:rPr>
          <w:rFonts w:ascii="Verdana" w:hAnsi="Verdana"/>
        </w:rPr>
        <w:t>Στ</w:t>
      </w:r>
      <w:r w:rsidR="007D2A29">
        <w:rPr>
          <w:rFonts w:ascii="Verdana" w:hAnsi="Verdana"/>
        </w:rPr>
        <w:t xml:space="preserve">η διαδικτυακή συνεδρίαση της </w:t>
      </w:r>
      <w:r w:rsidR="00166D36" w:rsidRPr="007D2A29">
        <w:rPr>
          <w:rFonts w:ascii="Verdana" w:hAnsi="Verdana"/>
        </w:rPr>
        <w:t>29</w:t>
      </w:r>
      <w:r w:rsidR="007D2A29" w:rsidRPr="007D2A29">
        <w:rPr>
          <w:rFonts w:ascii="Verdana" w:hAnsi="Verdana"/>
        </w:rPr>
        <w:t>.01.</w:t>
      </w:r>
      <w:r w:rsidR="00166D36" w:rsidRPr="007D2A29">
        <w:rPr>
          <w:rFonts w:ascii="Verdana" w:hAnsi="Verdana"/>
        </w:rPr>
        <w:t xml:space="preserve">2021 </w:t>
      </w:r>
      <w:r w:rsidR="007D2A29">
        <w:rPr>
          <w:rFonts w:ascii="Verdana" w:hAnsi="Verdana"/>
        </w:rPr>
        <w:t xml:space="preserve">συμμετείχαν στελέχη </w:t>
      </w:r>
      <w:r w:rsidR="00166D36" w:rsidRPr="007D2A29">
        <w:rPr>
          <w:rFonts w:ascii="Verdana" w:hAnsi="Verdana"/>
        </w:rPr>
        <w:t xml:space="preserve">της </w:t>
      </w:r>
      <w:r w:rsidR="00260D55" w:rsidRPr="007D2A29">
        <w:rPr>
          <w:rFonts w:ascii="Verdana" w:hAnsi="Verdana"/>
        </w:rPr>
        <w:t xml:space="preserve">Ευρωπαϊκής </w:t>
      </w:r>
      <w:r w:rsidR="00166D36" w:rsidRPr="007D2A29">
        <w:rPr>
          <w:rFonts w:ascii="Verdana" w:hAnsi="Verdana"/>
        </w:rPr>
        <w:t xml:space="preserve">Επιτροπής </w:t>
      </w:r>
      <w:r w:rsidR="00260D55" w:rsidRPr="007D2A29">
        <w:rPr>
          <w:rFonts w:ascii="Verdana" w:hAnsi="Verdana"/>
        </w:rPr>
        <w:t>(</w:t>
      </w:r>
      <w:r w:rsidR="00400442" w:rsidRPr="007D2A29">
        <w:rPr>
          <w:rFonts w:ascii="Verdana" w:hAnsi="Verdana"/>
        </w:rPr>
        <w:t>Γενικές Διευθύνσεις Εμπορίου, Ανάπτυξης και Ομάδα Εργασίας ΗΒ</w:t>
      </w:r>
      <w:r w:rsidR="00260D55" w:rsidRPr="007D2A29">
        <w:rPr>
          <w:rFonts w:ascii="Verdana" w:hAnsi="Verdana"/>
        </w:rPr>
        <w:t>)</w:t>
      </w:r>
      <w:r w:rsidR="00400442" w:rsidRPr="007D2A29">
        <w:rPr>
          <w:rFonts w:ascii="Verdana" w:hAnsi="Verdana"/>
        </w:rPr>
        <w:t xml:space="preserve"> </w:t>
      </w:r>
      <w:r w:rsidR="007D2A29">
        <w:rPr>
          <w:rFonts w:ascii="Verdana" w:hAnsi="Verdana"/>
        </w:rPr>
        <w:t xml:space="preserve">που απάντησαν στις ερωτήσεις </w:t>
      </w:r>
      <w:r w:rsidR="00207A4F">
        <w:rPr>
          <w:rFonts w:ascii="Verdana" w:hAnsi="Verdana"/>
        </w:rPr>
        <w:t xml:space="preserve">του </w:t>
      </w:r>
      <w:r w:rsidR="00207A4F">
        <w:rPr>
          <w:rFonts w:ascii="Verdana" w:hAnsi="Verdana"/>
          <w:lang w:val="en-US"/>
        </w:rPr>
        <w:t>CCBE</w:t>
      </w:r>
      <w:r w:rsidR="00207A4F">
        <w:rPr>
          <w:rFonts w:ascii="Verdana" w:hAnsi="Verdana"/>
        </w:rPr>
        <w:t xml:space="preserve"> όσον αφορά τ</w:t>
      </w:r>
      <w:r w:rsidR="00291C32">
        <w:rPr>
          <w:rFonts w:ascii="Verdana" w:hAnsi="Verdana"/>
        </w:rPr>
        <w:t xml:space="preserve">η ρύθμιση των </w:t>
      </w:r>
      <w:r w:rsidR="00207A4F">
        <w:rPr>
          <w:rFonts w:ascii="Verdana" w:hAnsi="Verdana"/>
        </w:rPr>
        <w:t>δικηγορικών υπηρεσιών σ</w:t>
      </w:r>
      <w:r w:rsidR="00541ADB" w:rsidRPr="007D2A29">
        <w:rPr>
          <w:rFonts w:ascii="Verdana" w:hAnsi="Verdana"/>
        </w:rPr>
        <w:t xml:space="preserve">τη Συμφωνία Εμπορίου και Συνεργασίας ΕΕ-ΗΒ </w:t>
      </w:r>
      <w:r w:rsidR="00B47CEA" w:rsidRPr="007D2A29">
        <w:rPr>
          <w:rFonts w:ascii="Verdana" w:hAnsi="Verdana"/>
        </w:rPr>
        <w:t>(</w:t>
      </w:r>
      <w:r w:rsidR="00797E18" w:rsidRPr="007D2A29">
        <w:rPr>
          <w:rFonts w:ascii="Verdana" w:hAnsi="Verdana"/>
        </w:rPr>
        <w:t xml:space="preserve">ΣΕΣ – </w:t>
      </w:r>
      <w:hyperlink r:id="rId7" w:history="1">
        <w:r w:rsidR="00B47CEA" w:rsidRPr="007D2A29">
          <w:rPr>
            <w:rStyle w:val="-"/>
            <w:rFonts w:ascii="Verdana" w:hAnsi="Verdana"/>
            <w:lang w:val="en-US"/>
          </w:rPr>
          <w:t>Trade</w:t>
        </w:r>
        <w:r w:rsidR="00B47CEA" w:rsidRPr="007D2A29">
          <w:rPr>
            <w:rStyle w:val="-"/>
            <w:rFonts w:ascii="Verdana" w:hAnsi="Verdana"/>
          </w:rPr>
          <w:t xml:space="preserve"> </w:t>
        </w:r>
        <w:r w:rsidR="00B47CEA" w:rsidRPr="007D2A29">
          <w:rPr>
            <w:rStyle w:val="-"/>
            <w:rFonts w:ascii="Verdana" w:hAnsi="Verdana"/>
            <w:lang w:val="en-US"/>
          </w:rPr>
          <w:t>and</w:t>
        </w:r>
        <w:r w:rsidR="00B47CEA" w:rsidRPr="007D2A29">
          <w:rPr>
            <w:rStyle w:val="-"/>
            <w:rFonts w:ascii="Verdana" w:hAnsi="Verdana"/>
          </w:rPr>
          <w:t xml:space="preserve"> </w:t>
        </w:r>
        <w:r w:rsidR="00B47CEA" w:rsidRPr="007D2A29">
          <w:rPr>
            <w:rStyle w:val="-"/>
            <w:rFonts w:ascii="Verdana" w:hAnsi="Verdana"/>
            <w:lang w:val="en-US"/>
          </w:rPr>
          <w:t>Cooperation</w:t>
        </w:r>
        <w:r w:rsidR="00B47CEA" w:rsidRPr="007D2A29">
          <w:rPr>
            <w:rStyle w:val="-"/>
            <w:rFonts w:ascii="Verdana" w:hAnsi="Verdana"/>
          </w:rPr>
          <w:t xml:space="preserve"> </w:t>
        </w:r>
        <w:r w:rsidR="00B47CEA" w:rsidRPr="007D2A29">
          <w:rPr>
            <w:rStyle w:val="-"/>
            <w:rFonts w:ascii="Verdana" w:hAnsi="Verdana"/>
            <w:lang w:val="en-US"/>
          </w:rPr>
          <w:t>Agreement</w:t>
        </w:r>
      </w:hyperlink>
      <w:r w:rsidR="00B47CEA" w:rsidRPr="007D2A29">
        <w:rPr>
          <w:rFonts w:ascii="Verdana" w:hAnsi="Verdana"/>
        </w:rPr>
        <w:t>)</w:t>
      </w:r>
      <w:r w:rsidR="00541ADB" w:rsidRPr="007D2A29">
        <w:rPr>
          <w:rFonts w:ascii="Verdana" w:hAnsi="Verdana"/>
        </w:rPr>
        <w:t>.</w:t>
      </w:r>
      <w:r w:rsidR="00E2275A" w:rsidRPr="007D2A2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Χρήσιμες είναι οι εξής παρατηρήσεις: </w:t>
      </w:r>
    </w:p>
    <w:p w14:paraId="41ACCE0A" w14:textId="5FC8383C" w:rsidR="00CF0694" w:rsidRPr="007125FD" w:rsidRDefault="007125FD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Α</w:t>
      </w:r>
      <w:r w:rsidR="00EE2339" w:rsidRPr="007125FD">
        <w:rPr>
          <w:rFonts w:ascii="Verdana" w:hAnsi="Verdana"/>
        </w:rPr>
        <w:t xml:space="preserve">πό 1.1.2021 </w:t>
      </w:r>
      <w:r w:rsidR="00E2275A" w:rsidRPr="007125FD">
        <w:rPr>
          <w:rFonts w:ascii="Verdana" w:hAnsi="Verdana"/>
        </w:rPr>
        <w:t>οι Κοινοτικές Οδηγίες δεν ισχύουν στις σχέσεις ΗΒ-ΕΕ</w:t>
      </w:r>
      <w:r w:rsidR="008C567B" w:rsidRPr="007125FD">
        <w:rPr>
          <w:rFonts w:ascii="Verdana" w:hAnsi="Verdana"/>
        </w:rPr>
        <w:t xml:space="preserve"> και π</w:t>
      </w:r>
      <w:r w:rsidR="00D5530B" w:rsidRPr="007125FD">
        <w:rPr>
          <w:rFonts w:ascii="Verdana" w:hAnsi="Verdana"/>
        </w:rPr>
        <w:t xml:space="preserve">λέον </w:t>
      </w:r>
      <w:r w:rsidR="00EE2339" w:rsidRPr="007125FD">
        <w:rPr>
          <w:rFonts w:ascii="Verdana" w:hAnsi="Verdana"/>
        </w:rPr>
        <w:t xml:space="preserve">εφαρμόζεται </w:t>
      </w:r>
      <w:r w:rsidR="00D5530B" w:rsidRPr="007125FD">
        <w:rPr>
          <w:rFonts w:ascii="Verdana" w:hAnsi="Verdana"/>
        </w:rPr>
        <w:t xml:space="preserve">η </w:t>
      </w:r>
      <w:r w:rsidR="00B47CEA" w:rsidRPr="007125FD">
        <w:rPr>
          <w:rFonts w:ascii="Verdana" w:hAnsi="Verdana"/>
        </w:rPr>
        <w:t>ΣΕΣ</w:t>
      </w:r>
      <w:r>
        <w:rPr>
          <w:rFonts w:ascii="Verdana" w:hAnsi="Verdana"/>
        </w:rPr>
        <w:t>,</w:t>
      </w:r>
      <w:r w:rsidR="00197216" w:rsidRPr="007125FD">
        <w:rPr>
          <w:rFonts w:ascii="Verdana" w:hAnsi="Verdana"/>
        </w:rPr>
        <w:t xml:space="preserve"> </w:t>
      </w:r>
      <w:r w:rsidR="00D5530B" w:rsidRPr="007125FD">
        <w:rPr>
          <w:rFonts w:ascii="Verdana" w:hAnsi="Verdana"/>
        </w:rPr>
        <w:t xml:space="preserve">που </w:t>
      </w:r>
      <w:r w:rsidR="00197216" w:rsidRPr="007125FD">
        <w:rPr>
          <w:rFonts w:ascii="Verdana" w:hAnsi="Verdana"/>
        </w:rPr>
        <w:t xml:space="preserve">περιλαμβάνει ειδικό κεφάλαιο </w:t>
      </w:r>
      <w:r w:rsidR="008F4356" w:rsidRPr="007125FD">
        <w:rPr>
          <w:rFonts w:ascii="Verdana" w:hAnsi="Verdana"/>
        </w:rPr>
        <w:t>«</w:t>
      </w:r>
      <w:r w:rsidR="008F4356" w:rsidRPr="007125FD">
        <w:rPr>
          <w:rFonts w:ascii="Verdana" w:hAnsi="Verdana"/>
          <w:i/>
          <w:iCs/>
        </w:rPr>
        <w:t>Τμήμα 7: Νομικές Υπηρεσίες</w:t>
      </w:r>
      <w:r w:rsidR="008F4356" w:rsidRPr="007125FD">
        <w:rPr>
          <w:rFonts w:ascii="Verdana" w:hAnsi="Verdana"/>
        </w:rPr>
        <w:t>»</w:t>
      </w:r>
      <w:r w:rsidR="00F12191">
        <w:rPr>
          <w:rStyle w:val="a5"/>
          <w:rFonts w:ascii="Verdana" w:hAnsi="Verdana"/>
        </w:rPr>
        <w:footnoteReference w:id="1"/>
      </w:r>
      <w:r w:rsidR="00D5530B" w:rsidRPr="007125FD">
        <w:rPr>
          <w:rFonts w:ascii="Verdana" w:hAnsi="Verdana"/>
        </w:rPr>
        <w:t xml:space="preserve">, </w:t>
      </w:r>
      <w:r w:rsidR="00EE2339" w:rsidRPr="007125FD">
        <w:rPr>
          <w:rFonts w:ascii="Verdana" w:hAnsi="Verdana"/>
        </w:rPr>
        <w:t xml:space="preserve">ενώ </w:t>
      </w:r>
      <w:r w:rsidR="00D5530B" w:rsidRPr="007125FD">
        <w:rPr>
          <w:rFonts w:ascii="Verdana" w:hAnsi="Verdana"/>
        </w:rPr>
        <w:t xml:space="preserve">τα κράτη μέλη διατηρούν ευρύτατα περιθώρια </w:t>
      </w:r>
      <w:r w:rsidR="008C567B" w:rsidRPr="007125FD">
        <w:rPr>
          <w:rFonts w:ascii="Verdana" w:hAnsi="Verdana"/>
        </w:rPr>
        <w:t xml:space="preserve">διαφοροποίησης </w:t>
      </w:r>
      <w:r w:rsidR="00041DA2" w:rsidRPr="007125FD">
        <w:rPr>
          <w:rFonts w:ascii="Verdana" w:hAnsi="Verdana"/>
        </w:rPr>
        <w:t>υπό τον όρο μη εισαγωγής διακρίσεων</w:t>
      </w:r>
      <w:r w:rsidR="003C671A" w:rsidRPr="007125FD">
        <w:rPr>
          <w:rFonts w:ascii="Verdana" w:hAnsi="Verdana"/>
        </w:rPr>
        <w:t>. Έ</w:t>
      </w:r>
      <w:r w:rsidR="005535C1" w:rsidRPr="007125FD">
        <w:rPr>
          <w:rFonts w:ascii="Verdana" w:hAnsi="Verdana"/>
        </w:rPr>
        <w:t>τσι</w:t>
      </w:r>
      <w:r w:rsidR="008C567B" w:rsidRPr="007125FD">
        <w:rPr>
          <w:rFonts w:ascii="Verdana" w:hAnsi="Verdana"/>
        </w:rPr>
        <w:t>,</w:t>
      </w:r>
      <w:r w:rsidR="005535C1" w:rsidRPr="007125FD">
        <w:rPr>
          <w:rFonts w:ascii="Verdana" w:hAnsi="Verdana"/>
        </w:rPr>
        <w:t xml:space="preserve"> οι Άγγλοι δικηγόροι απολαμβάνουν </w:t>
      </w:r>
      <w:r w:rsidR="00F44094" w:rsidRPr="007125FD">
        <w:rPr>
          <w:rFonts w:ascii="Verdana" w:hAnsi="Verdana"/>
        </w:rPr>
        <w:t>περίπου το επίπεδο προστασίας που αναγνωρί</w:t>
      </w:r>
      <w:r w:rsidR="00DA5FF3">
        <w:rPr>
          <w:rFonts w:ascii="Verdana" w:hAnsi="Verdana"/>
        </w:rPr>
        <w:softHyphen/>
      </w:r>
      <w:r w:rsidR="00F44094" w:rsidRPr="007125FD">
        <w:rPr>
          <w:rFonts w:ascii="Verdana" w:hAnsi="Verdana"/>
        </w:rPr>
        <w:t xml:space="preserve">ζεται στην </w:t>
      </w:r>
      <w:r w:rsidR="00DA5FF3">
        <w:rPr>
          <w:rFonts w:ascii="Verdana" w:hAnsi="Verdana"/>
        </w:rPr>
        <w:t xml:space="preserve">παρεμφερή </w:t>
      </w:r>
      <w:r w:rsidR="00F44094" w:rsidRPr="007125FD">
        <w:rPr>
          <w:rFonts w:ascii="Verdana" w:hAnsi="Verdana"/>
        </w:rPr>
        <w:t>Εμπορική Συμφωνία ΕΕ-Ιαπωνίας</w:t>
      </w:r>
      <w:r w:rsidR="003C671A" w:rsidRPr="007125FD">
        <w:rPr>
          <w:rFonts w:ascii="Verdana" w:hAnsi="Verdana"/>
        </w:rPr>
        <w:t xml:space="preserve">, μπορούν </w:t>
      </w:r>
      <w:r w:rsidR="00130796" w:rsidRPr="007125FD">
        <w:rPr>
          <w:rFonts w:ascii="Verdana" w:hAnsi="Verdana"/>
        </w:rPr>
        <w:t xml:space="preserve">δηλαδή </w:t>
      </w:r>
      <w:r w:rsidR="003C671A" w:rsidRPr="007125FD">
        <w:rPr>
          <w:rFonts w:ascii="Verdana" w:hAnsi="Verdana"/>
        </w:rPr>
        <w:t>να παρέχουν υπηρεσίες (υπό προϋποθέσεις</w:t>
      </w:r>
      <w:r w:rsidR="000B5C08" w:rsidRPr="007125FD">
        <w:rPr>
          <w:rFonts w:ascii="Verdana" w:hAnsi="Verdana"/>
        </w:rPr>
        <w:t xml:space="preserve"> και ανάλογα τη νομοθεσία του κράτους υποδοχής</w:t>
      </w:r>
      <w:r w:rsidR="003C671A" w:rsidRPr="007125FD">
        <w:rPr>
          <w:rFonts w:ascii="Verdana" w:hAnsi="Verdana"/>
        </w:rPr>
        <w:t xml:space="preserve">) </w:t>
      </w:r>
      <w:r w:rsidR="00C05BC9" w:rsidRPr="007125FD">
        <w:rPr>
          <w:rFonts w:ascii="Verdana" w:hAnsi="Verdana"/>
        </w:rPr>
        <w:t>με</w:t>
      </w:r>
      <w:r w:rsidR="003C671A" w:rsidRPr="007125FD">
        <w:rPr>
          <w:rFonts w:ascii="Verdana" w:hAnsi="Verdana"/>
        </w:rPr>
        <w:t xml:space="preserve"> τον επαγγελματικό τίτλο του ΗΒ για θέματα που άπτονται αγγλικού ή διεθνούς (όχι όμως </w:t>
      </w:r>
      <w:proofErr w:type="spellStart"/>
      <w:r w:rsidR="003C671A" w:rsidRPr="007125FD">
        <w:rPr>
          <w:rFonts w:ascii="Verdana" w:hAnsi="Verdana"/>
        </w:rPr>
        <w:t>ενωσιακού</w:t>
      </w:r>
      <w:proofErr w:type="spellEnd"/>
      <w:r w:rsidR="003C671A" w:rsidRPr="007125FD">
        <w:rPr>
          <w:rFonts w:ascii="Verdana" w:hAnsi="Verdana"/>
        </w:rPr>
        <w:t xml:space="preserve">) δικαίου. </w:t>
      </w:r>
    </w:p>
    <w:p w14:paraId="6449C96A" w14:textId="618A8C9C" w:rsidR="00CF0694" w:rsidRPr="007125FD" w:rsidRDefault="00DA5FF3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Ε</w:t>
      </w:r>
      <w:r w:rsidR="00A22424" w:rsidRPr="007125FD">
        <w:rPr>
          <w:rFonts w:ascii="Verdana" w:hAnsi="Verdana"/>
        </w:rPr>
        <w:t xml:space="preserve">πί του παρόντος τα κράτη μέλη δεν </w:t>
      </w:r>
      <w:r w:rsidR="005A6377" w:rsidRPr="007125FD">
        <w:rPr>
          <w:rFonts w:ascii="Verdana" w:hAnsi="Verdana"/>
        </w:rPr>
        <w:t xml:space="preserve">μπορούν </w:t>
      </w:r>
      <w:r w:rsidR="00A22424" w:rsidRPr="007125FD">
        <w:rPr>
          <w:rFonts w:ascii="Verdana" w:hAnsi="Verdana"/>
        </w:rPr>
        <w:t xml:space="preserve">να </w:t>
      </w:r>
      <w:r w:rsidR="005A6377" w:rsidRPr="007125FD">
        <w:rPr>
          <w:rFonts w:ascii="Verdana" w:hAnsi="Verdana"/>
        </w:rPr>
        <w:t xml:space="preserve">διαπραγματευτούν διμερώς </w:t>
      </w:r>
      <w:r w:rsidR="00A22424" w:rsidRPr="007125FD">
        <w:rPr>
          <w:rFonts w:ascii="Verdana" w:hAnsi="Verdana"/>
        </w:rPr>
        <w:t xml:space="preserve">προϋποθέσεις αναγνώρισης επαγγελματικών τίτλων, </w:t>
      </w:r>
      <w:r w:rsidR="00130796" w:rsidRPr="007125FD">
        <w:rPr>
          <w:rFonts w:ascii="Verdana" w:hAnsi="Verdana"/>
        </w:rPr>
        <w:t xml:space="preserve">αφού την </w:t>
      </w:r>
      <w:r w:rsidR="00A22424" w:rsidRPr="007125FD">
        <w:rPr>
          <w:rFonts w:ascii="Verdana" w:hAnsi="Verdana"/>
        </w:rPr>
        <w:t>αποκλειστική αρμοδιότητα έχει η ΕΕ</w:t>
      </w:r>
      <w:r w:rsidR="008767AC" w:rsidRPr="007125FD">
        <w:rPr>
          <w:rFonts w:ascii="Verdana" w:hAnsi="Verdana"/>
        </w:rPr>
        <w:t>. Παράλληλα</w:t>
      </w:r>
      <w:r w:rsidR="00FD329C" w:rsidRPr="007125FD">
        <w:rPr>
          <w:rFonts w:ascii="Verdana" w:hAnsi="Verdana"/>
        </w:rPr>
        <w:t>,</w:t>
      </w:r>
      <w:r w:rsidR="008767AC" w:rsidRPr="007125FD">
        <w:rPr>
          <w:rFonts w:ascii="Verdana" w:hAnsi="Verdana"/>
        </w:rPr>
        <w:t xml:space="preserve"> όμως</w:t>
      </w:r>
      <w:r w:rsidR="00FD329C" w:rsidRPr="007125FD">
        <w:rPr>
          <w:rFonts w:ascii="Verdana" w:hAnsi="Verdana"/>
        </w:rPr>
        <w:t>,</w:t>
      </w:r>
      <w:r w:rsidR="008767AC" w:rsidRPr="007125FD">
        <w:rPr>
          <w:rFonts w:ascii="Verdana" w:hAnsi="Verdana"/>
        </w:rPr>
        <w:t xml:space="preserve"> η ΣΕΣ θέτει ελάχιστες προδιαγραφές και δεν εμποδίζει τα κράτη μέλη να υιοθετήσουν πιο </w:t>
      </w:r>
      <w:r w:rsidR="00FD329C" w:rsidRPr="007125FD">
        <w:rPr>
          <w:rFonts w:ascii="Verdana" w:hAnsi="Verdana"/>
        </w:rPr>
        <w:t>«</w:t>
      </w:r>
      <w:r w:rsidR="008767AC" w:rsidRPr="007125FD">
        <w:rPr>
          <w:rFonts w:ascii="Verdana" w:hAnsi="Verdana"/>
        </w:rPr>
        <w:t>γενναιόδωρες</w:t>
      </w:r>
      <w:r w:rsidR="00FD329C" w:rsidRPr="007125FD">
        <w:rPr>
          <w:rFonts w:ascii="Verdana" w:hAnsi="Verdana"/>
        </w:rPr>
        <w:t xml:space="preserve">» </w:t>
      </w:r>
      <w:r w:rsidR="005A6377" w:rsidRPr="007125FD">
        <w:rPr>
          <w:rFonts w:ascii="Verdana" w:hAnsi="Verdana"/>
        </w:rPr>
        <w:t xml:space="preserve">ρυθμίσεις </w:t>
      </w:r>
      <w:r w:rsidR="008767AC" w:rsidRPr="007125FD">
        <w:rPr>
          <w:rFonts w:ascii="Verdana" w:hAnsi="Verdana"/>
        </w:rPr>
        <w:t>με την επιφύλαξη πάντοτε του κοινοτικού κεκτημένου</w:t>
      </w:r>
      <w:r w:rsidR="00EC2A67" w:rsidRPr="007125FD">
        <w:rPr>
          <w:rFonts w:ascii="Verdana" w:hAnsi="Verdana"/>
        </w:rPr>
        <w:t xml:space="preserve">. Εξ άλλου </w:t>
      </w:r>
      <w:r w:rsidR="00736B2D" w:rsidRPr="007125FD">
        <w:rPr>
          <w:rFonts w:ascii="Verdana" w:hAnsi="Verdana"/>
        </w:rPr>
        <w:t xml:space="preserve">είναι δύσκολο να φανταστεί </w:t>
      </w:r>
      <w:r w:rsidR="002C630A" w:rsidRPr="007125FD">
        <w:rPr>
          <w:rFonts w:ascii="Verdana" w:hAnsi="Verdana"/>
        </w:rPr>
        <w:t xml:space="preserve">κανείς </w:t>
      </w:r>
      <w:r w:rsidR="00EC2A67" w:rsidRPr="007125FD">
        <w:rPr>
          <w:rFonts w:ascii="Verdana" w:hAnsi="Verdana"/>
        </w:rPr>
        <w:t xml:space="preserve">την περίπτωση που ένα κράτος μέλος </w:t>
      </w:r>
      <w:r w:rsidR="005A6377" w:rsidRPr="007125FD">
        <w:rPr>
          <w:rFonts w:ascii="Verdana" w:hAnsi="Verdana"/>
        </w:rPr>
        <w:t xml:space="preserve">θα </w:t>
      </w:r>
      <w:r w:rsidR="00EC2A67" w:rsidRPr="007125FD">
        <w:rPr>
          <w:rFonts w:ascii="Verdana" w:hAnsi="Verdana"/>
        </w:rPr>
        <w:t>αποφασί</w:t>
      </w:r>
      <w:r w:rsidR="005A6377" w:rsidRPr="007125FD">
        <w:rPr>
          <w:rFonts w:ascii="Verdana" w:hAnsi="Verdana"/>
        </w:rPr>
        <w:t>σ</w:t>
      </w:r>
      <w:r w:rsidR="00EC2A67" w:rsidRPr="007125FD">
        <w:rPr>
          <w:rFonts w:ascii="Verdana" w:hAnsi="Verdana"/>
        </w:rPr>
        <w:t>ει να χορηγήσει ευνοϊκότερο καθεστώς στους Άγγλους δικηγόρους (</w:t>
      </w:r>
      <w:r w:rsidR="002C630A" w:rsidRPr="007125FD">
        <w:rPr>
          <w:rFonts w:ascii="Verdana" w:hAnsi="Verdana"/>
        </w:rPr>
        <w:t xml:space="preserve">λόγου χάρη δικαίωμα </w:t>
      </w:r>
      <w:r w:rsidR="00EC2A67" w:rsidRPr="007125FD">
        <w:rPr>
          <w:rFonts w:ascii="Verdana" w:hAnsi="Verdana"/>
        </w:rPr>
        <w:t xml:space="preserve">παράστασης </w:t>
      </w:r>
      <w:r w:rsidR="00EC2A67" w:rsidRPr="007125FD">
        <w:rPr>
          <w:rFonts w:ascii="Verdana" w:hAnsi="Verdana"/>
        </w:rPr>
        <w:lastRenderedPageBreak/>
        <w:t>στο δικαστήριο)</w:t>
      </w:r>
      <w:r w:rsidR="002C630A" w:rsidRPr="007125FD">
        <w:rPr>
          <w:rFonts w:ascii="Verdana" w:hAnsi="Verdana"/>
        </w:rPr>
        <w:t>, αφού αυτό</w:t>
      </w:r>
      <w:r w:rsidR="00EC2A67" w:rsidRPr="007125FD">
        <w:rPr>
          <w:rFonts w:ascii="Verdana" w:hAnsi="Verdana"/>
        </w:rPr>
        <w:t xml:space="preserve"> αυτόματα θα ενεργοποιούσε αντίστοιχο δικαίωμα για τους υπηκόους </w:t>
      </w:r>
      <w:r w:rsidR="00736B2D" w:rsidRPr="007125FD">
        <w:rPr>
          <w:rFonts w:ascii="Verdana" w:hAnsi="Verdana"/>
        </w:rPr>
        <w:t xml:space="preserve">τρίτων χωρών με τις οποίες υφίσταται </w:t>
      </w:r>
      <w:r w:rsidR="00A44451">
        <w:rPr>
          <w:rFonts w:ascii="Verdana" w:hAnsi="Verdana"/>
        </w:rPr>
        <w:t xml:space="preserve">ανάλογη </w:t>
      </w:r>
      <w:r w:rsidR="00736B2D" w:rsidRPr="007125FD">
        <w:rPr>
          <w:rFonts w:ascii="Verdana" w:hAnsi="Verdana"/>
        </w:rPr>
        <w:t>σύμβαση συνεργασίας (π</w:t>
      </w:r>
      <w:r w:rsidR="00A44451">
        <w:rPr>
          <w:rFonts w:ascii="Verdana" w:hAnsi="Verdana"/>
        </w:rPr>
        <w:t>.</w:t>
      </w:r>
      <w:r w:rsidR="00736B2D" w:rsidRPr="007125FD">
        <w:rPr>
          <w:rFonts w:ascii="Verdana" w:hAnsi="Verdana"/>
        </w:rPr>
        <w:t>χ</w:t>
      </w:r>
      <w:r w:rsidR="00A44451">
        <w:rPr>
          <w:rFonts w:ascii="Verdana" w:hAnsi="Verdana"/>
        </w:rPr>
        <w:t>.</w:t>
      </w:r>
      <w:r w:rsidR="00736B2D" w:rsidRPr="007125FD">
        <w:rPr>
          <w:rFonts w:ascii="Verdana" w:hAnsi="Verdana"/>
        </w:rPr>
        <w:t xml:space="preserve"> Ιαπωνία).</w:t>
      </w:r>
      <w:r w:rsidR="002C630A" w:rsidRPr="007125FD">
        <w:rPr>
          <w:rFonts w:ascii="Verdana" w:hAnsi="Verdana"/>
        </w:rPr>
        <w:t xml:space="preserve"> </w:t>
      </w:r>
    </w:p>
    <w:p w14:paraId="6BDC6A6B" w14:textId="1B4128A5" w:rsidR="00CF0694" w:rsidRPr="007125FD" w:rsidRDefault="002C630A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 w:rsidRPr="007125FD">
        <w:rPr>
          <w:rFonts w:ascii="Verdana" w:hAnsi="Verdana"/>
        </w:rPr>
        <w:t>Η ΣΕΣ επιτρέπει την</w:t>
      </w:r>
      <w:r w:rsidR="00E00B49" w:rsidRPr="007125FD">
        <w:rPr>
          <w:rFonts w:ascii="Verdana" w:hAnsi="Verdana"/>
        </w:rPr>
        <w:t xml:space="preserve"> </w:t>
      </w:r>
      <w:r w:rsidRPr="007125FD">
        <w:rPr>
          <w:rFonts w:ascii="Verdana" w:hAnsi="Verdana"/>
        </w:rPr>
        <w:t xml:space="preserve">παροχή νομικών υπηρεσιών </w:t>
      </w:r>
      <w:r w:rsidR="00DA3809" w:rsidRPr="007125FD">
        <w:rPr>
          <w:rFonts w:ascii="Verdana" w:hAnsi="Verdana"/>
        </w:rPr>
        <w:t xml:space="preserve">από Άγγλο δικηγόρο σε </w:t>
      </w:r>
      <w:r w:rsidR="00E00B49" w:rsidRPr="007125FD">
        <w:rPr>
          <w:rFonts w:ascii="Verdana" w:hAnsi="Verdana"/>
        </w:rPr>
        <w:t>περιστασιακή-</w:t>
      </w:r>
      <w:r w:rsidR="00DA3809" w:rsidRPr="007125FD">
        <w:rPr>
          <w:rFonts w:ascii="Verdana" w:hAnsi="Verdana"/>
        </w:rPr>
        <w:t xml:space="preserve">προσωρινή βάση (12 μήνες κατ’ ανώτατο όριο υπό τον όρο 6ετούς εμπειρίας και προηγούμενης </w:t>
      </w:r>
      <w:r w:rsidR="008E7C40" w:rsidRPr="007125FD">
        <w:rPr>
          <w:rFonts w:ascii="Verdana" w:hAnsi="Verdana"/>
        </w:rPr>
        <w:t xml:space="preserve">καταχώρισης σε δικηγορικό σύλλογο του </w:t>
      </w:r>
      <w:r w:rsidR="00DA3809" w:rsidRPr="007125FD">
        <w:rPr>
          <w:rFonts w:ascii="Verdana" w:hAnsi="Verdana"/>
        </w:rPr>
        <w:t>κράτο</w:t>
      </w:r>
      <w:r w:rsidR="008E7C40" w:rsidRPr="007125FD">
        <w:rPr>
          <w:rFonts w:ascii="Verdana" w:hAnsi="Verdana"/>
        </w:rPr>
        <w:t>υ</w:t>
      </w:r>
      <w:r w:rsidR="00DA3809" w:rsidRPr="007125FD">
        <w:rPr>
          <w:rFonts w:ascii="Verdana" w:hAnsi="Verdana"/>
        </w:rPr>
        <w:t>ς μέλος υποδοχής)</w:t>
      </w:r>
      <w:r w:rsidR="00A32331" w:rsidRPr="007125FD">
        <w:rPr>
          <w:rFonts w:ascii="Verdana" w:hAnsi="Verdana"/>
        </w:rPr>
        <w:t>, δεν υφίσταται δικαίωμα μόνιμης εγκατά</w:t>
      </w:r>
      <w:r w:rsidR="00A44451">
        <w:rPr>
          <w:rFonts w:ascii="Verdana" w:hAnsi="Verdana"/>
        </w:rPr>
        <w:softHyphen/>
      </w:r>
      <w:r w:rsidR="00A32331" w:rsidRPr="007125FD">
        <w:rPr>
          <w:rFonts w:ascii="Verdana" w:hAnsi="Verdana"/>
        </w:rPr>
        <w:t>στασης ούτε εισδοχής στην εσωτερική αγορά</w:t>
      </w:r>
      <w:r w:rsidR="00B61268" w:rsidRPr="007125FD">
        <w:rPr>
          <w:rFonts w:ascii="Verdana" w:hAnsi="Verdana"/>
        </w:rPr>
        <w:t xml:space="preserve">, ενώ φυσικά εφαρμόζεται </w:t>
      </w:r>
      <w:r w:rsidR="008E7A45" w:rsidRPr="007125FD">
        <w:rPr>
          <w:rFonts w:ascii="Verdana" w:hAnsi="Verdana"/>
        </w:rPr>
        <w:t xml:space="preserve">για τη (μόνιμη ή προσωρινή) διαμονή των </w:t>
      </w:r>
      <w:r w:rsidR="00B61268" w:rsidRPr="007125FD">
        <w:rPr>
          <w:rFonts w:ascii="Verdana" w:hAnsi="Verdana"/>
        </w:rPr>
        <w:t>υπηκό</w:t>
      </w:r>
      <w:r w:rsidR="008E7A45" w:rsidRPr="007125FD">
        <w:rPr>
          <w:rFonts w:ascii="Verdana" w:hAnsi="Verdana"/>
        </w:rPr>
        <w:t xml:space="preserve">ων </w:t>
      </w:r>
      <w:r w:rsidR="00B61268" w:rsidRPr="007125FD">
        <w:rPr>
          <w:rFonts w:ascii="Verdana" w:hAnsi="Verdana"/>
        </w:rPr>
        <w:t xml:space="preserve">ΗΒ η </w:t>
      </w:r>
      <w:r w:rsidR="008E7A45" w:rsidRPr="007125FD">
        <w:rPr>
          <w:rFonts w:ascii="Verdana" w:hAnsi="Verdana"/>
        </w:rPr>
        <w:t xml:space="preserve">μεταναστευτική </w:t>
      </w:r>
      <w:r w:rsidR="00B61268" w:rsidRPr="007125FD">
        <w:rPr>
          <w:rFonts w:ascii="Verdana" w:hAnsi="Verdana"/>
        </w:rPr>
        <w:t>νομοθεσία</w:t>
      </w:r>
      <w:r w:rsidR="005835C0" w:rsidRPr="007125FD">
        <w:rPr>
          <w:rFonts w:ascii="Verdana" w:hAnsi="Verdana"/>
        </w:rPr>
        <w:t xml:space="preserve"> και οι </w:t>
      </w:r>
      <w:r w:rsidR="00291C32" w:rsidRPr="007125FD">
        <w:rPr>
          <w:rFonts w:ascii="Verdana" w:hAnsi="Verdana"/>
        </w:rPr>
        <w:t xml:space="preserve">εκάστοτε </w:t>
      </w:r>
      <w:r w:rsidR="005835C0" w:rsidRPr="007125FD">
        <w:rPr>
          <w:rFonts w:ascii="Verdana" w:hAnsi="Verdana"/>
        </w:rPr>
        <w:t xml:space="preserve">προϋποθέσεις άσκησης δικηγορίας </w:t>
      </w:r>
      <w:r w:rsidR="00291C32" w:rsidRPr="007125FD">
        <w:rPr>
          <w:rFonts w:ascii="Verdana" w:hAnsi="Verdana"/>
        </w:rPr>
        <w:t xml:space="preserve">στο </w:t>
      </w:r>
      <w:r w:rsidR="005835C0" w:rsidRPr="007125FD">
        <w:rPr>
          <w:rFonts w:ascii="Verdana" w:hAnsi="Verdana"/>
        </w:rPr>
        <w:t>κράτος υποδοχής</w:t>
      </w:r>
      <w:r w:rsidR="002A65C5" w:rsidRPr="007125FD">
        <w:rPr>
          <w:rFonts w:ascii="Verdana" w:hAnsi="Verdana"/>
        </w:rPr>
        <w:t xml:space="preserve">. </w:t>
      </w:r>
    </w:p>
    <w:p w14:paraId="741F9594" w14:textId="7CCE63EE" w:rsidR="000268D0" w:rsidRPr="007125FD" w:rsidRDefault="006E5BEC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Δέον όπως δεν εφαρμόζονται διακρίσεις βασιζόμενες στους Άγγλους δικηγόρους που έχουν </w:t>
      </w:r>
      <w:r w:rsidR="00046795" w:rsidRPr="007125FD">
        <w:rPr>
          <w:rFonts w:ascii="Verdana" w:hAnsi="Verdana"/>
        </w:rPr>
        <w:t>εξομοι</w:t>
      </w:r>
      <w:r>
        <w:rPr>
          <w:rFonts w:ascii="Verdana" w:hAnsi="Verdana"/>
        </w:rPr>
        <w:t xml:space="preserve">ωθεί προ </w:t>
      </w:r>
      <w:r w:rsidR="00046795" w:rsidRPr="007125FD">
        <w:rPr>
          <w:rFonts w:ascii="Verdana" w:hAnsi="Verdana"/>
        </w:rPr>
        <w:t>τ</w:t>
      </w:r>
      <w:r>
        <w:rPr>
          <w:rFonts w:ascii="Verdana" w:hAnsi="Verdana"/>
        </w:rPr>
        <w:t>η</w:t>
      </w:r>
      <w:r w:rsidR="00046795" w:rsidRPr="007125FD">
        <w:rPr>
          <w:rFonts w:ascii="Verdana" w:hAnsi="Verdana"/>
        </w:rPr>
        <w:t>ς 31.12.2020 με δικηγόρο</w:t>
      </w:r>
      <w:r w:rsidR="00476D46" w:rsidRPr="007125FD">
        <w:rPr>
          <w:rFonts w:ascii="Verdana" w:hAnsi="Verdana"/>
        </w:rPr>
        <w:t xml:space="preserve"> στο κράτος υποδοχής</w:t>
      </w:r>
      <w:r w:rsidR="00046795" w:rsidRPr="007125FD">
        <w:rPr>
          <w:rFonts w:ascii="Verdana" w:hAnsi="Verdana"/>
        </w:rPr>
        <w:t xml:space="preserve">, αλλά Άγγλοι δικηγόροι που έχουν εγγραφεί στα μητρώα των Κοινοτικών Δικηγόρων </w:t>
      </w:r>
      <w:r w:rsidR="005A6200" w:rsidRPr="007125FD">
        <w:rPr>
          <w:rFonts w:ascii="Verdana" w:hAnsi="Verdana"/>
        </w:rPr>
        <w:t>δεν διατηρούν δικαίωμα αναγνώρισης</w:t>
      </w:r>
      <w:r w:rsidR="00A44451">
        <w:rPr>
          <w:rFonts w:ascii="Verdana" w:hAnsi="Verdana"/>
        </w:rPr>
        <w:t>,</w:t>
      </w:r>
      <w:r w:rsidR="005A6200" w:rsidRPr="007125FD">
        <w:rPr>
          <w:rFonts w:ascii="Verdana" w:hAnsi="Verdana"/>
        </w:rPr>
        <w:t xml:space="preserve"> εφόσον δεν εφαρμόζονται </w:t>
      </w:r>
      <w:r w:rsidR="00F956AE" w:rsidRPr="007125FD">
        <w:rPr>
          <w:rFonts w:ascii="Verdana" w:hAnsi="Verdana"/>
        </w:rPr>
        <w:t xml:space="preserve">πια </w:t>
      </w:r>
      <w:r w:rsidR="005A6200" w:rsidRPr="007125FD">
        <w:rPr>
          <w:rFonts w:ascii="Verdana" w:hAnsi="Verdana"/>
        </w:rPr>
        <w:t>οι Κοινοτικές Οδηγίες.</w:t>
      </w:r>
      <w:r w:rsidR="00F956AE" w:rsidRPr="007125FD">
        <w:rPr>
          <w:rFonts w:ascii="Verdana" w:hAnsi="Verdana"/>
        </w:rPr>
        <w:t xml:space="preserve"> </w:t>
      </w:r>
    </w:p>
    <w:p w14:paraId="2136C8E9" w14:textId="67D84714" w:rsidR="00167A4D" w:rsidRPr="007125FD" w:rsidRDefault="00E3478A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Ε</w:t>
      </w:r>
      <w:r w:rsidR="00486FDA" w:rsidRPr="007125FD">
        <w:rPr>
          <w:rFonts w:ascii="Verdana" w:hAnsi="Verdana"/>
        </w:rPr>
        <w:t xml:space="preserve">νώ δεν υφίσταται δικαίωμα μόνιμης επαγγελματικής εγκατάστασης </w:t>
      </w:r>
      <w:r>
        <w:rPr>
          <w:rFonts w:ascii="Verdana" w:hAnsi="Verdana"/>
        </w:rPr>
        <w:t xml:space="preserve">των </w:t>
      </w:r>
      <w:r w:rsidR="00486FDA" w:rsidRPr="007125FD">
        <w:rPr>
          <w:rFonts w:ascii="Verdana" w:hAnsi="Verdana"/>
        </w:rPr>
        <w:t>φυσικ</w:t>
      </w:r>
      <w:r>
        <w:rPr>
          <w:rFonts w:ascii="Verdana" w:hAnsi="Verdana"/>
        </w:rPr>
        <w:t xml:space="preserve">ών </w:t>
      </w:r>
      <w:r w:rsidR="00486FDA" w:rsidRPr="007125FD">
        <w:rPr>
          <w:rFonts w:ascii="Verdana" w:hAnsi="Verdana"/>
        </w:rPr>
        <w:t>προσώπ</w:t>
      </w:r>
      <w:r>
        <w:rPr>
          <w:rFonts w:ascii="Verdana" w:hAnsi="Verdana"/>
        </w:rPr>
        <w:t>ων</w:t>
      </w:r>
      <w:r w:rsidR="00486FDA" w:rsidRPr="007125FD">
        <w:rPr>
          <w:rFonts w:ascii="Verdana" w:hAnsi="Verdana"/>
        </w:rPr>
        <w:t xml:space="preserve"> (δικηγόρ</w:t>
      </w:r>
      <w:r>
        <w:rPr>
          <w:rFonts w:ascii="Verdana" w:hAnsi="Verdana"/>
        </w:rPr>
        <w:t>ων</w:t>
      </w:r>
      <w:r w:rsidR="00486FDA" w:rsidRPr="007125FD">
        <w:rPr>
          <w:rFonts w:ascii="Verdana" w:hAnsi="Verdana"/>
        </w:rPr>
        <w:t>), δεν ισχύει το ίδιο για</w:t>
      </w:r>
      <w:r w:rsidR="00840BD6" w:rsidRPr="007125FD">
        <w:rPr>
          <w:rFonts w:ascii="Verdana" w:hAnsi="Verdana"/>
        </w:rPr>
        <w:t xml:space="preserve"> </w:t>
      </w:r>
      <w:r w:rsidR="00486FDA" w:rsidRPr="007125FD">
        <w:rPr>
          <w:rFonts w:ascii="Verdana" w:hAnsi="Verdana"/>
        </w:rPr>
        <w:t xml:space="preserve">τις </w:t>
      </w:r>
      <w:r w:rsidR="00BE0158" w:rsidRPr="007125FD">
        <w:rPr>
          <w:rFonts w:ascii="Verdana" w:hAnsi="Verdana"/>
        </w:rPr>
        <w:t>δικηγορικ</w:t>
      </w:r>
      <w:r w:rsidR="00486FDA" w:rsidRPr="007125FD">
        <w:rPr>
          <w:rFonts w:ascii="Verdana" w:hAnsi="Verdana"/>
        </w:rPr>
        <w:t>ές</w:t>
      </w:r>
      <w:r w:rsidR="00BE0158" w:rsidRPr="007125FD">
        <w:rPr>
          <w:rFonts w:ascii="Verdana" w:hAnsi="Verdana"/>
        </w:rPr>
        <w:t xml:space="preserve"> εταιρεί</w:t>
      </w:r>
      <w:r w:rsidR="00486FDA" w:rsidRPr="007125FD">
        <w:rPr>
          <w:rFonts w:ascii="Verdana" w:hAnsi="Verdana"/>
        </w:rPr>
        <w:t>ε</w:t>
      </w:r>
      <w:r w:rsidR="00BE0158" w:rsidRPr="007125FD">
        <w:rPr>
          <w:rFonts w:ascii="Verdana" w:hAnsi="Verdana"/>
        </w:rPr>
        <w:t xml:space="preserve">ς, </w:t>
      </w:r>
      <w:r>
        <w:rPr>
          <w:rFonts w:ascii="Verdana" w:hAnsi="Verdana"/>
        </w:rPr>
        <w:t xml:space="preserve">υπό την </w:t>
      </w:r>
      <w:r w:rsidR="00BE0158" w:rsidRPr="007125FD">
        <w:rPr>
          <w:rFonts w:ascii="Verdana" w:hAnsi="Verdana"/>
        </w:rPr>
        <w:t xml:space="preserve">επιφύλαξη </w:t>
      </w:r>
      <w:r>
        <w:rPr>
          <w:rFonts w:ascii="Verdana" w:hAnsi="Verdana"/>
        </w:rPr>
        <w:t xml:space="preserve">πάντοτε των υφιστάμενων </w:t>
      </w:r>
      <w:r w:rsidR="00486FDA" w:rsidRPr="007125FD">
        <w:rPr>
          <w:rFonts w:ascii="Verdana" w:hAnsi="Verdana"/>
        </w:rPr>
        <w:t>προϋποθ</w:t>
      </w:r>
      <w:r w:rsidR="00603EF7" w:rsidRPr="007125FD">
        <w:rPr>
          <w:rFonts w:ascii="Verdana" w:hAnsi="Verdana"/>
        </w:rPr>
        <w:t>έσεων εκ του νόμου στο κράτος υποδοχής (</w:t>
      </w:r>
      <w:r w:rsidR="00D17825" w:rsidRPr="007125FD">
        <w:rPr>
          <w:rFonts w:ascii="Verdana" w:hAnsi="Verdana"/>
        </w:rPr>
        <w:t xml:space="preserve">ενδεικτικά </w:t>
      </w:r>
      <w:r w:rsidR="00476D46" w:rsidRPr="007125FD">
        <w:rPr>
          <w:rFonts w:ascii="Verdana" w:hAnsi="Verdana"/>
        </w:rPr>
        <w:t xml:space="preserve">για </w:t>
      </w:r>
      <w:r w:rsidR="00CB096F">
        <w:rPr>
          <w:rFonts w:ascii="Verdana" w:hAnsi="Verdana"/>
        </w:rPr>
        <w:t xml:space="preserve">αυξημένη πλειοψηφία κοινοτικών υπηκόων </w:t>
      </w:r>
      <w:r w:rsidR="00BE0158" w:rsidRPr="007125FD">
        <w:rPr>
          <w:rFonts w:ascii="Verdana" w:hAnsi="Verdana"/>
        </w:rPr>
        <w:t>ή ειδικά προσόντα που απαιτούνται για τους εταίρους ή τους διαχειριστές κλπ</w:t>
      </w:r>
      <w:r w:rsidR="00D91CF1" w:rsidRPr="007125FD">
        <w:rPr>
          <w:rFonts w:ascii="Verdana" w:hAnsi="Verdana"/>
        </w:rPr>
        <w:t>.</w:t>
      </w:r>
      <w:r w:rsidR="00BE0158" w:rsidRPr="007125FD">
        <w:rPr>
          <w:rFonts w:ascii="Verdana" w:hAnsi="Verdana"/>
        </w:rPr>
        <w:t>)</w:t>
      </w:r>
      <w:r w:rsidR="00D17825" w:rsidRPr="007125FD">
        <w:rPr>
          <w:rFonts w:ascii="Verdana" w:hAnsi="Verdana"/>
        </w:rPr>
        <w:t>.</w:t>
      </w:r>
      <w:r w:rsidR="00746967" w:rsidRPr="007125FD">
        <w:rPr>
          <w:rFonts w:ascii="Verdana" w:hAnsi="Verdana"/>
        </w:rPr>
        <w:t xml:space="preserve"> </w:t>
      </w:r>
      <w:r w:rsidR="00840BD6" w:rsidRPr="007125FD">
        <w:rPr>
          <w:rFonts w:ascii="Verdana" w:hAnsi="Verdana"/>
        </w:rPr>
        <w:t>Σε κάθε περίπτωση τα υποκατα</w:t>
      </w:r>
      <w:r w:rsidR="00DA5FF3">
        <w:rPr>
          <w:rFonts w:ascii="Verdana" w:hAnsi="Verdana"/>
        </w:rPr>
        <w:softHyphen/>
      </w:r>
      <w:r w:rsidR="00840BD6" w:rsidRPr="007125FD">
        <w:rPr>
          <w:rFonts w:ascii="Verdana" w:hAnsi="Verdana"/>
        </w:rPr>
        <w:t xml:space="preserve">στήματα αγγλικών δικηγορικών εταιρειών </w:t>
      </w:r>
      <w:r w:rsidR="00840BD6" w:rsidRPr="007125FD">
        <w:rPr>
          <w:rFonts w:ascii="Verdana" w:hAnsi="Verdana"/>
          <w:lang w:val="en-US"/>
        </w:rPr>
        <w:t>LLP</w:t>
      </w:r>
      <w:r w:rsidR="00840BD6" w:rsidRPr="007125FD">
        <w:rPr>
          <w:rFonts w:ascii="Verdana" w:hAnsi="Verdana"/>
        </w:rPr>
        <w:t xml:space="preserve"> δεν αναγνωρί</w:t>
      </w:r>
      <w:r w:rsidR="00DA5FF3">
        <w:rPr>
          <w:rFonts w:ascii="Verdana" w:hAnsi="Verdana"/>
        </w:rPr>
        <w:softHyphen/>
      </w:r>
      <w:r w:rsidR="00840BD6" w:rsidRPr="007125FD">
        <w:rPr>
          <w:rFonts w:ascii="Verdana" w:hAnsi="Verdana"/>
        </w:rPr>
        <w:t>ζονται πλέον ως κοινοτικά και θα πρέπει να αναζητήσουν άλλες μορφές αποδεκτής εγκατάστασης</w:t>
      </w:r>
      <w:r w:rsidR="00932826" w:rsidRPr="007125FD">
        <w:rPr>
          <w:rFonts w:ascii="Verdana" w:hAnsi="Verdana"/>
        </w:rPr>
        <w:t xml:space="preserve"> </w:t>
      </w:r>
      <w:r w:rsidR="00454B30" w:rsidRPr="007125FD">
        <w:rPr>
          <w:rFonts w:ascii="Verdana" w:hAnsi="Verdana"/>
        </w:rPr>
        <w:t>(</w:t>
      </w:r>
      <w:r w:rsidR="008B5AD7" w:rsidRPr="007125FD">
        <w:rPr>
          <w:rFonts w:ascii="Verdana" w:hAnsi="Verdana"/>
        </w:rPr>
        <w:t xml:space="preserve">με </w:t>
      </w:r>
      <w:r w:rsidR="00932826" w:rsidRPr="007125FD">
        <w:rPr>
          <w:rFonts w:ascii="Verdana" w:hAnsi="Verdana"/>
        </w:rPr>
        <w:t xml:space="preserve">εξαίρεση </w:t>
      </w:r>
      <w:r w:rsidR="008B5AD7" w:rsidRPr="007125FD">
        <w:rPr>
          <w:rFonts w:ascii="Verdana" w:hAnsi="Verdana"/>
        </w:rPr>
        <w:t>τ</w:t>
      </w:r>
      <w:r w:rsidR="00932826" w:rsidRPr="007125FD">
        <w:rPr>
          <w:rFonts w:ascii="Verdana" w:hAnsi="Verdana"/>
        </w:rPr>
        <w:t xml:space="preserve">η Γαλλία </w:t>
      </w:r>
      <w:r w:rsidR="008B5AD7" w:rsidRPr="007125FD">
        <w:rPr>
          <w:rFonts w:ascii="Verdana" w:hAnsi="Verdana"/>
        </w:rPr>
        <w:t xml:space="preserve">όπου </w:t>
      </w:r>
      <w:r w:rsidR="00C86E4F">
        <w:rPr>
          <w:rFonts w:ascii="Verdana" w:hAnsi="Verdana"/>
        </w:rPr>
        <w:t>οι</w:t>
      </w:r>
      <w:r w:rsidR="00454B30" w:rsidRPr="007125FD">
        <w:rPr>
          <w:rFonts w:ascii="Verdana" w:hAnsi="Verdana"/>
        </w:rPr>
        <w:t xml:space="preserve"> εγκατεστημέν</w:t>
      </w:r>
      <w:r w:rsidR="00C86E4F">
        <w:rPr>
          <w:rFonts w:ascii="Verdana" w:hAnsi="Verdana"/>
        </w:rPr>
        <w:t>ες</w:t>
      </w:r>
      <w:r w:rsidR="00454B30" w:rsidRPr="007125FD">
        <w:rPr>
          <w:rFonts w:ascii="Verdana" w:hAnsi="Verdana"/>
        </w:rPr>
        <w:t xml:space="preserve"> μέχρι 31.12.2020 </w:t>
      </w:r>
      <w:r w:rsidR="00932826" w:rsidRPr="007125FD">
        <w:rPr>
          <w:rFonts w:ascii="Verdana" w:hAnsi="Verdana"/>
          <w:lang w:val="en-US"/>
        </w:rPr>
        <w:t>LLP</w:t>
      </w:r>
      <w:r w:rsidR="00454B30" w:rsidRPr="007125FD">
        <w:rPr>
          <w:rFonts w:ascii="Verdana" w:hAnsi="Verdana"/>
        </w:rPr>
        <w:t xml:space="preserve"> εξακολουθ</w:t>
      </w:r>
      <w:r w:rsidR="00C86E4F">
        <w:rPr>
          <w:rFonts w:ascii="Verdana" w:hAnsi="Verdana"/>
        </w:rPr>
        <w:t xml:space="preserve">ούν </w:t>
      </w:r>
      <w:r w:rsidR="00454B30" w:rsidRPr="007125FD">
        <w:rPr>
          <w:rFonts w:ascii="Verdana" w:hAnsi="Verdana"/>
        </w:rPr>
        <w:t>να λειτουργούν)</w:t>
      </w:r>
      <w:r w:rsidR="00840BD6" w:rsidRPr="007125FD">
        <w:rPr>
          <w:rFonts w:ascii="Verdana" w:hAnsi="Verdana"/>
        </w:rPr>
        <w:t xml:space="preserve">. </w:t>
      </w:r>
      <w:r w:rsidR="00A1355E" w:rsidRPr="007125FD">
        <w:rPr>
          <w:rFonts w:ascii="Verdana" w:hAnsi="Verdana"/>
        </w:rPr>
        <w:t xml:space="preserve">Όσον αφορά την αναγνώριση επαγγελματικών προσόντων, τα κράτη μέλη μπορούν να θέτουν περιορισμούς </w:t>
      </w:r>
      <w:r w:rsidR="009E5314" w:rsidRPr="007125FD">
        <w:rPr>
          <w:rFonts w:ascii="Verdana" w:hAnsi="Verdana"/>
        </w:rPr>
        <w:t>με την επιφύλαξη του μάλλον ευνοούμενου κράτους</w:t>
      </w:r>
      <w:r w:rsidR="005B6C0A" w:rsidRPr="007125FD">
        <w:rPr>
          <w:rFonts w:ascii="Verdana" w:hAnsi="Verdana"/>
        </w:rPr>
        <w:t xml:space="preserve">. </w:t>
      </w:r>
    </w:p>
    <w:p w14:paraId="15E1E14C" w14:textId="6A63E583" w:rsidR="000D5D18" w:rsidRPr="007125FD" w:rsidRDefault="000D5D18" w:rsidP="00520349">
      <w:pPr>
        <w:pStyle w:val="a3"/>
        <w:numPr>
          <w:ilvl w:val="0"/>
          <w:numId w:val="2"/>
        </w:numPr>
        <w:spacing w:after="240" w:line="360" w:lineRule="auto"/>
        <w:contextualSpacing w:val="0"/>
        <w:jc w:val="both"/>
        <w:rPr>
          <w:rFonts w:ascii="Verdana" w:hAnsi="Verdana"/>
        </w:rPr>
      </w:pPr>
      <w:r w:rsidRPr="007125FD">
        <w:rPr>
          <w:rFonts w:ascii="Verdana" w:hAnsi="Verdana"/>
        </w:rPr>
        <w:t>Ειδική μνεία έγινε στην περίπτωση παροχής νομικών συμβουλ</w:t>
      </w:r>
      <w:r w:rsidR="008A2294" w:rsidRPr="007125FD">
        <w:rPr>
          <w:rFonts w:ascii="Verdana" w:hAnsi="Verdana"/>
        </w:rPr>
        <w:t xml:space="preserve">ών </w:t>
      </w:r>
      <w:proofErr w:type="spellStart"/>
      <w:r w:rsidR="008A2294" w:rsidRPr="007125FD">
        <w:rPr>
          <w:rFonts w:ascii="Verdana" w:hAnsi="Verdana"/>
        </w:rPr>
        <w:t>ενωσιακού</w:t>
      </w:r>
      <w:proofErr w:type="spellEnd"/>
      <w:r w:rsidR="008A2294" w:rsidRPr="007125FD">
        <w:rPr>
          <w:rFonts w:ascii="Verdana" w:hAnsi="Verdana"/>
        </w:rPr>
        <w:t xml:space="preserve"> αντικειμένου </w:t>
      </w:r>
      <w:r w:rsidRPr="007125FD">
        <w:rPr>
          <w:rFonts w:ascii="Verdana" w:hAnsi="Verdana"/>
        </w:rPr>
        <w:t xml:space="preserve">από δικηγόρο ΗΒ μέσω </w:t>
      </w:r>
      <w:r w:rsidRPr="007125FD">
        <w:rPr>
          <w:rFonts w:ascii="Verdana" w:hAnsi="Verdana"/>
          <w:lang w:val="en-US"/>
        </w:rPr>
        <w:t>e</w:t>
      </w:r>
      <w:r w:rsidRPr="007125FD">
        <w:rPr>
          <w:rFonts w:ascii="Verdana" w:hAnsi="Verdana"/>
        </w:rPr>
        <w:t>-</w:t>
      </w:r>
      <w:r w:rsidRPr="007125FD">
        <w:rPr>
          <w:rFonts w:ascii="Verdana" w:hAnsi="Verdana"/>
          <w:lang w:val="en-US"/>
        </w:rPr>
        <w:t>mail</w:t>
      </w:r>
      <w:r w:rsidRPr="007125FD">
        <w:rPr>
          <w:rFonts w:ascii="Verdana" w:hAnsi="Verdana"/>
        </w:rPr>
        <w:t xml:space="preserve"> ή από τηλεφώνου</w:t>
      </w:r>
      <w:r w:rsidR="008A2294" w:rsidRPr="007125FD">
        <w:rPr>
          <w:rFonts w:ascii="Verdana" w:hAnsi="Verdana"/>
        </w:rPr>
        <w:t xml:space="preserve">, </w:t>
      </w:r>
      <w:r w:rsidR="00210EA1" w:rsidRPr="007125FD">
        <w:rPr>
          <w:rFonts w:ascii="Verdana" w:hAnsi="Verdana"/>
        </w:rPr>
        <w:t xml:space="preserve">η οποία </w:t>
      </w:r>
      <w:r w:rsidR="00DF6AB6" w:rsidRPr="007125FD">
        <w:rPr>
          <w:rFonts w:ascii="Verdana" w:hAnsi="Verdana"/>
        </w:rPr>
        <w:t xml:space="preserve">ως διασυνοριακή παροχή </w:t>
      </w:r>
      <w:r w:rsidR="00210EA1" w:rsidRPr="007125FD">
        <w:rPr>
          <w:rFonts w:ascii="Verdana" w:hAnsi="Verdana"/>
        </w:rPr>
        <w:t xml:space="preserve">υπηρεσιών </w:t>
      </w:r>
      <w:r w:rsidR="00DF6AB6" w:rsidRPr="007125FD">
        <w:rPr>
          <w:rFonts w:ascii="Verdana" w:hAnsi="Verdana"/>
        </w:rPr>
        <w:t xml:space="preserve">δεν </w:t>
      </w:r>
      <w:r w:rsidR="00210EA1" w:rsidRPr="007125FD">
        <w:rPr>
          <w:rFonts w:ascii="Verdana" w:hAnsi="Verdana"/>
        </w:rPr>
        <w:t xml:space="preserve">εμπίπτει </w:t>
      </w:r>
      <w:r w:rsidR="00DF6AB6" w:rsidRPr="007125FD">
        <w:rPr>
          <w:rFonts w:ascii="Verdana" w:hAnsi="Verdana"/>
        </w:rPr>
        <w:t xml:space="preserve">σε </w:t>
      </w:r>
      <w:r w:rsidR="00DF6AB6" w:rsidRPr="007125FD">
        <w:rPr>
          <w:rFonts w:ascii="Verdana" w:hAnsi="Verdana"/>
        </w:rPr>
        <w:lastRenderedPageBreak/>
        <w:t>εξαιρέσεις και δεν επιτρέπεται</w:t>
      </w:r>
      <w:r w:rsidR="008A2294" w:rsidRPr="007125FD">
        <w:rPr>
          <w:rFonts w:ascii="Verdana" w:hAnsi="Verdana"/>
        </w:rPr>
        <w:t>.</w:t>
      </w:r>
      <w:r w:rsidR="00A4718A" w:rsidRPr="007125FD">
        <w:rPr>
          <w:rFonts w:ascii="Verdana" w:hAnsi="Verdana"/>
        </w:rPr>
        <w:t xml:space="preserve"> Σημαντική παράμετρος εξ άλλου είναι ότι δεν υφίσταται καμία πρόβλεψη για αναγνώριση δικαστικών αποφάσεων.</w:t>
      </w:r>
    </w:p>
    <w:p w14:paraId="4E5CEE51" w14:textId="61A25B6A" w:rsidR="00C40119" w:rsidRDefault="000268D0" w:rsidP="00520349">
      <w:pPr>
        <w:spacing w:after="24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2.- </w:t>
      </w:r>
      <w:r w:rsidR="005B6C0A" w:rsidRPr="007D2A29">
        <w:rPr>
          <w:rFonts w:ascii="Verdana" w:hAnsi="Verdana"/>
        </w:rPr>
        <w:t xml:space="preserve">Στη συνέχεια το λόγο πήρε η αγγλική αντιπροσωπεία, </w:t>
      </w:r>
      <w:r w:rsidR="006F7166">
        <w:rPr>
          <w:rFonts w:ascii="Verdana" w:hAnsi="Verdana"/>
        </w:rPr>
        <w:t xml:space="preserve">αναγνωρίζοντας </w:t>
      </w:r>
      <w:r w:rsidR="005B6C0A" w:rsidRPr="007D2A29">
        <w:rPr>
          <w:rFonts w:ascii="Verdana" w:hAnsi="Verdana"/>
        </w:rPr>
        <w:t xml:space="preserve">ότι </w:t>
      </w:r>
      <w:r w:rsidR="001A5CD3">
        <w:rPr>
          <w:rFonts w:ascii="Verdana" w:hAnsi="Verdana"/>
        </w:rPr>
        <w:t xml:space="preserve">είναι σαφώς προτιμότερη </w:t>
      </w:r>
      <w:r w:rsidR="005B6C0A" w:rsidRPr="007D2A29">
        <w:rPr>
          <w:rFonts w:ascii="Verdana" w:hAnsi="Verdana"/>
        </w:rPr>
        <w:t xml:space="preserve">μια συμφωνία </w:t>
      </w:r>
      <w:r w:rsidR="001A5CD3">
        <w:rPr>
          <w:rFonts w:ascii="Verdana" w:hAnsi="Verdana"/>
        </w:rPr>
        <w:t>από την παντελή απουσία ρυθμιστικού πλαισίου</w:t>
      </w:r>
      <w:r w:rsidR="007C7CA7" w:rsidRPr="007D2A29">
        <w:rPr>
          <w:rFonts w:ascii="Verdana" w:hAnsi="Verdana"/>
        </w:rPr>
        <w:t xml:space="preserve">, </w:t>
      </w:r>
      <w:r w:rsidR="003061AF" w:rsidRPr="007D2A29">
        <w:rPr>
          <w:rFonts w:ascii="Verdana" w:hAnsi="Verdana"/>
        </w:rPr>
        <w:t xml:space="preserve">τόνισαν </w:t>
      </w:r>
      <w:r w:rsidR="006F7166">
        <w:rPr>
          <w:rFonts w:ascii="Verdana" w:hAnsi="Verdana"/>
        </w:rPr>
        <w:t xml:space="preserve">ωστόσο </w:t>
      </w:r>
      <w:r w:rsidR="003061AF" w:rsidRPr="007D2A29">
        <w:rPr>
          <w:rFonts w:ascii="Verdana" w:hAnsi="Verdana"/>
        </w:rPr>
        <w:t xml:space="preserve">ότι </w:t>
      </w:r>
      <w:r w:rsidR="007C7CA7" w:rsidRPr="007D2A29">
        <w:rPr>
          <w:rFonts w:ascii="Verdana" w:hAnsi="Verdana"/>
        </w:rPr>
        <w:t xml:space="preserve">οι Άγγλοι δικηγόροι επιθυμούν </w:t>
      </w:r>
      <w:r w:rsidR="003061AF" w:rsidRPr="007D2A29">
        <w:rPr>
          <w:rFonts w:ascii="Verdana" w:hAnsi="Verdana"/>
        </w:rPr>
        <w:t xml:space="preserve">τα κράτη μέλη </w:t>
      </w:r>
      <w:r w:rsidR="004550F1">
        <w:rPr>
          <w:rFonts w:ascii="Verdana" w:hAnsi="Verdana"/>
        </w:rPr>
        <w:t xml:space="preserve">ΕΕ </w:t>
      </w:r>
      <w:r w:rsidR="003061AF" w:rsidRPr="007D2A29">
        <w:rPr>
          <w:rFonts w:ascii="Verdana" w:hAnsi="Verdana"/>
        </w:rPr>
        <w:t xml:space="preserve">να προβλέψουν </w:t>
      </w:r>
      <w:r w:rsidR="007C7CA7" w:rsidRPr="007D2A29">
        <w:rPr>
          <w:rFonts w:ascii="Verdana" w:hAnsi="Verdana"/>
        </w:rPr>
        <w:t>επιεικέστερες διατάξεις για τους δικηγόρους τρίτων κρατών</w:t>
      </w:r>
      <w:r w:rsidR="008C2661" w:rsidRPr="007D2A29">
        <w:rPr>
          <w:rFonts w:ascii="Verdana" w:hAnsi="Verdana"/>
        </w:rPr>
        <w:t>, κατά το παράδειγμα του ΗΒ</w:t>
      </w:r>
      <w:r w:rsidR="004550F1">
        <w:rPr>
          <w:rFonts w:ascii="Verdana" w:hAnsi="Verdana"/>
        </w:rPr>
        <w:t>,</w:t>
      </w:r>
      <w:r w:rsidR="008C2661" w:rsidRPr="007D2A29">
        <w:rPr>
          <w:rFonts w:ascii="Verdana" w:hAnsi="Verdana"/>
        </w:rPr>
        <w:t xml:space="preserve"> που </w:t>
      </w:r>
      <w:r w:rsidR="007C7CA7" w:rsidRPr="007D2A29">
        <w:rPr>
          <w:rFonts w:ascii="Verdana" w:hAnsi="Verdana"/>
        </w:rPr>
        <w:t xml:space="preserve">είναι πολύ πιο </w:t>
      </w:r>
      <w:r w:rsidR="00667BCF">
        <w:rPr>
          <w:rFonts w:ascii="Verdana" w:hAnsi="Verdana"/>
        </w:rPr>
        <w:t>‘φιλόξενο’ για</w:t>
      </w:r>
      <w:r w:rsidR="008C2661" w:rsidRPr="007D2A29">
        <w:rPr>
          <w:rFonts w:ascii="Verdana" w:hAnsi="Verdana"/>
        </w:rPr>
        <w:t xml:space="preserve"> δικηγόρους</w:t>
      </w:r>
      <w:r w:rsidR="00C057C9" w:rsidRPr="007D2A29">
        <w:rPr>
          <w:rFonts w:ascii="Verdana" w:hAnsi="Verdana"/>
        </w:rPr>
        <w:t xml:space="preserve"> που </w:t>
      </w:r>
      <w:r w:rsidR="00AD2547">
        <w:rPr>
          <w:rFonts w:ascii="Verdana" w:hAnsi="Verdana"/>
        </w:rPr>
        <w:t xml:space="preserve">φέρουν </w:t>
      </w:r>
      <w:r w:rsidR="00C057C9" w:rsidRPr="007D2A29">
        <w:rPr>
          <w:rFonts w:ascii="Verdana" w:hAnsi="Verdana"/>
        </w:rPr>
        <w:t>επαγγελματικό τίτλο εκτός ΗΒ</w:t>
      </w:r>
      <w:r w:rsidR="008C2661" w:rsidRPr="007D2A29">
        <w:rPr>
          <w:rFonts w:ascii="Verdana" w:hAnsi="Verdana"/>
        </w:rPr>
        <w:t>.</w:t>
      </w:r>
      <w:r w:rsidR="005B6C0A" w:rsidRPr="007D2A29">
        <w:rPr>
          <w:rFonts w:ascii="Verdana" w:hAnsi="Verdana"/>
        </w:rPr>
        <w:t xml:space="preserve"> </w:t>
      </w:r>
    </w:p>
    <w:p w14:paraId="3E29FAB2" w14:textId="388C7097" w:rsidR="00112C0A" w:rsidRPr="00B32820" w:rsidRDefault="000268D0" w:rsidP="00520349">
      <w:pPr>
        <w:spacing w:after="240"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3.- Αναφέρθηκαν περιληπτικά οι </w:t>
      </w:r>
      <w:r w:rsidR="00024AF5">
        <w:rPr>
          <w:rFonts w:ascii="Verdana" w:hAnsi="Verdana"/>
        </w:rPr>
        <w:t xml:space="preserve">διαπιστώσεις της </w:t>
      </w:r>
      <w:r>
        <w:rPr>
          <w:rFonts w:ascii="Verdana" w:hAnsi="Verdana"/>
        </w:rPr>
        <w:t xml:space="preserve">καθιερωμένης </w:t>
      </w:r>
      <w:r w:rsidR="00D93136">
        <w:rPr>
          <w:rFonts w:ascii="Verdana" w:hAnsi="Verdana"/>
        </w:rPr>
        <w:t xml:space="preserve">(ανά εξάμηνο) </w:t>
      </w:r>
      <w:r>
        <w:rPr>
          <w:rFonts w:ascii="Verdana" w:hAnsi="Verdana"/>
        </w:rPr>
        <w:t xml:space="preserve">επικοινωνίας μεταξύ εκπροσώπων </w:t>
      </w:r>
      <w:r w:rsidR="006B0CB0">
        <w:rPr>
          <w:rFonts w:ascii="Verdana" w:hAnsi="Verdana"/>
        </w:rPr>
        <w:t xml:space="preserve">του </w:t>
      </w:r>
      <w:r w:rsidR="006B0CB0">
        <w:rPr>
          <w:rFonts w:ascii="Verdana" w:hAnsi="Verdana"/>
          <w:lang w:val="en-US"/>
        </w:rPr>
        <w:t>CCBE</w:t>
      </w:r>
      <w:r w:rsidR="006B0CB0" w:rsidRPr="00112C0A">
        <w:rPr>
          <w:rFonts w:ascii="Verdana" w:hAnsi="Verdana"/>
        </w:rPr>
        <w:t xml:space="preserve"> </w:t>
      </w:r>
      <w:r w:rsidR="006B0CB0">
        <w:rPr>
          <w:rFonts w:ascii="Verdana" w:hAnsi="Verdana"/>
        </w:rPr>
        <w:t xml:space="preserve">εκ μέρους της ΕΕ, </w:t>
      </w:r>
      <w:r>
        <w:rPr>
          <w:rFonts w:ascii="Verdana" w:hAnsi="Verdana"/>
        </w:rPr>
        <w:t>της Αυστραλίας, του Καναδά, των ΗΠΑ και του Διεθνούς Δικηγορικού Συλλόγου (ΙΒΑ)</w:t>
      </w:r>
      <w:r w:rsidR="006B0CB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24AF5">
        <w:rPr>
          <w:rFonts w:ascii="Verdana" w:hAnsi="Verdana"/>
        </w:rPr>
        <w:t xml:space="preserve">που έλαβε χώρα στις 7.12.2020 </w:t>
      </w:r>
      <w:r w:rsidR="00ED6F90">
        <w:rPr>
          <w:rFonts w:ascii="Verdana" w:hAnsi="Verdana"/>
        </w:rPr>
        <w:t xml:space="preserve">για </w:t>
      </w:r>
      <w:r w:rsidR="008061F5">
        <w:rPr>
          <w:rFonts w:ascii="Verdana" w:hAnsi="Verdana"/>
        </w:rPr>
        <w:t xml:space="preserve">την ανταπόκριση </w:t>
      </w:r>
      <w:r w:rsidR="00ED6F90">
        <w:rPr>
          <w:rFonts w:ascii="Verdana" w:hAnsi="Verdana"/>
        </w:rPr>
        <w:t xml:space="preserve">των </w:t>
      </w:r>
      <w:r w:rsidR="00DB6032">
        <w:rPr>
          <w:rFonts w:ascii="Verdana" w:hAnsi="Verdana"/>
        </w:rPr>
        <w:t xml:space="preserve">δικαστικών συστημάτων και δικηγορικών συλλόγων στα περιοριστικά </w:t>
      </w:r>
      <w:r w:rsidR="006E3D42">
        <w:rPr>
          <w:rFonts w:ascii="Verdana" w:hAnsi="Verdana"/>
        </w:rPr>
        <w:t xml:space="preserve">μέτρα λόγω </w:t>
      </w:r>
      <w:proofErr w:type="spellStart"/>
      <w:r w:rsidR="006E3D42">
        <w:rPr>
          <w:rFonts w:ascii="Verdana" w:hAnsi="Verdana"/>
          <w:lang w:val="en-US"/>
        </w:rPr>
        <w:t>covid</w:t>
      </w:r>
      <w:proofErr w:type="spellEnd"/>
      <w:r w:rsidR="006E3D42" w:rsidRPr="006E3D42">
        <w:rPr>
          <w:rFonts w:ascii="Verdana" w:hAnsi="Verdana"/>
        </w:rPr>
        <w:t>-19.</w:t>
      </w:r>
      <w:r w:rsidR="008061F5">
        <w:rPr>
          <w:rFonts w:ascii="Verdana" w:hAnsi="Verdana"/>
        </w:rPr>
        <w:t xml:space="preserve"> </w:t>
      </w:r>
      <w:r w:rsidR="00ED6F90">
        <w:rPr>
          <w:rFonts w:ascii="Verdana" w:hAnsi="Verdana"/>
        </w:rPr>
        <w:t xml:space="preserve">Από τις αρχές Μαρτίου 2020 τα δικαστήρια παγκοσμίως άρχισαν να κλείνουν </w:t>
      </w:r>
      <w:r w:rsidR="00E0020E">
        <w:rPr>
          <w:rFonts w:ascii="Verdana" w:hAnsi="Verdana"/>
        </w:rPr>
        <w:t xml:space="preserve">και σε πολλές περιπτώσεις οι δικαστικοί σχηματισμοί έθεσαν </w:t>
      </w:r>
      <w:r w:rsidR="009B0B10">
        <w:rPr>
          <w:rFonts w:ascii="Verdana" w:hAnsi="Verdana"/>
        </w:rPr>
        <w:t xml:space="preserve">άμεσα </w:t>
      </w:r>
      <w:r w:rsidR="00E0020E">
        <w:rPr>
          <w:rFonts w:ascii="Verdana" w:hAnsi="Verdana"/>
        </w:rPr>
        <w:t xml:space="preserve">σε εφαρμογή </w:t>
      </w:r>
      <w:r w:rsidR="009B0B10">
        <w:rPr>
          <w:rFonts w:ascii="Verdana" w:hAnsi="Verdana"/>
        </w:rPr>
        <w:t>(</w:t>
      </w:r>
      <w:r w:rsidR="007A493F">
        <w:rPr>
          <w:rFonts w:ascii="Verdana" w:hAnsi="Verdana"/>
        </w:rPr>
        <w:t>ή πειραματίστηκαν</w:t>
      </w:r>
      <w:r w:rsidR="009B0B10">
        <w:rPr>
          <w:rFonts w:ascii="Verdana" w:hAnsi="Verdana"/>
        </w:rPr>
        <w:t>)</w:t>
      </w:r>
      <w:r w:rsidR="007A493F">
        <w:rPr>
          <w:rFonts w:ascii="Verdana" w:hAnsi="Verdana"/>
        </w:rPr>
        <w:t xml:space="preserve"> με διάφορα τεχνολογικά</w:t>
      </w:r>
      <w:r w:rsidR="009B0B10">
        <w:rPr>
          <w:rFonts w:ascii="Verdana" w:hAnsi="Verdana"/>
        </w:rPr>
        <w:t xml:space="preserve"> μέσα</w:t>
      </w:r>
      <w:r w:rsidR="006F6C47">
        <w:rPr>
          <w:rFonts w:ascii="Verdana" w:hAnsi="Verdana"/>
        </w:rPr>
        <w:t xml:space="preserve"> και εφαρμογές</w:t>
      </w:r>
      <w:r w:rsidR="007A493F">
        <w:rPr>
          <w:rFonts w:ascii="Verdana" w:hAnsi="Verdana"/>
        </w:rPr>
        <w:t xml:space="preserve">. </w:t>
      </w:r>
      <w:r w:rsidR="008A74CF">
        <w:rPr>
          <w:rFonts w:ascii="Verdana" w:hAnsi="Verdana"/>
        </w:rPr>
        <w:t xml:space="preserve">Ενδιαφέρουσες παρατηρήσεις μπορεί να βρει κανείς στο </w:t>
      </w:r>
      <w:hyperlink r:id="rId8" w:history="1">
        <w:r w:rsidR="008A74CF" w:rsidRPr="005F0057">
          <w:rPr>
            <w:rStyle w:val="-"/>
            <w:rFonts w:ascii="Verdana" w:hAnsi="Verdana"/>
          </w:rPr>
          <w:t>κείμενο</w:t>
        </w:r>
      </w:hyperlink>
      <w:r w:rsidR="008A74CF">
        <w:rPr>
          <w:rFonts w:ascii="Verdana" w:hAnsi="Verdana"/>
        </w:rPr>
        <w:t xml:space="preserve"> της Ευρωπαϊκής Επιτροπής για την Αποτελεσματικότητας της Δικαιοσύνης </w:t>
      </w:r>
      <w:r w:rsidR="00F13950" w:rsidRPr="00F13950">
        <w:rPr>
          <w:rFonts w:ascii="Verdana" w:hAnsi="Verdana"/>
        </w:rPr>
        <w:t>(</w:t>
      </w:r>
      <w:r w:rsidR="00F13950">
        <w:rPr>
          <w:rFonts w:ascii="Verdana" w:hAnsi="Verdana"/>
          <w:lang w:val="en-US"/>
        </w:rPr>
        <w:t>CEPEJ</w:t>
      </w:r>
      <w:r w:rsidR="00F13950" w:rsidRPr="00F13950">
        <w:rPr>
          <w:rFonts w:ascii="Verdana" w:hAnsi="Verdana"/>
        </w:rPr>
        <w:t xml:space="preserve">) </w:t>
      </w:r>
      <w:r w:rsidR="004B75F7">
        <w:rPr>
          <w:rFonts w:ascii="Verdana" w:hAnsi="Verdana"/>
        </w:rPr>
        <w:t xml:space="preserve">του Συμβουλίου της Ευρώπης, </w:t>
      </w:r>
      <w:r w:rsidR="005F0057">
        <w:rPr>
          <w:rFonts w:ascii="Verdana" w:hAnsi="Verdana"/>
        </w:rPr>
        <w:t xml:space="preserve">αλλά και την </w:t>
      </w:r>
      <w:hyperlink r:id="rId9" w:anchor="Greece" w:history="1">
        <w:r w:rsidR="005F0057" w:rsidRPr="00832149">
          <w:rPr>
            <w:rStyle w:val="-"/>
            <w:rFonts w:ascii="Verdana" w:hAnsi="Verdana"/>
          </w:rPr>
          <w:t>επισκόπηση</w:t>
        </w:r>
      </w:hyperlink>
      <w:r w:rsidR="005F0057">
        <w:rPr>
          <w:rFonts w:ascii="Verdana" w:hAnsi="Verdana"/>
        </w:rPr>
        <w:t xml:space="preserve"> </w:t>
      </w:r>
      <w:r w:rsidR="00832149">
        <w:rPr>
          <w:rFonts w:ascii="Verdana" w:hAnsi="Verdana"/>
        </w:rPr>
        <w:t xml:space="preserve">των μέτρων ανά κράτος </w:t>
      </w:r>
      <w:r w:rsidR="00F13950">
        <w:rPr>
          <w:rFonts w:ascii="Verdana" w:hAnsi="Verdana"/>
        </w:rPr>
        <w:t xml:space="preserve">μέλος. </w:t>
      </w:r>
      <w:r w:rsidR="00FD5451">
        <w:rPr>
          <w:rFonts w:ascii="Verdana" w:hAnsi="Verdana"/>
        </w:rPr>
        <w:t>Διαφ</w:t>
      </w:r>
      <w:r w:rsidR="006F6C47">
        <w:rPr>
          <w:rFonts w:ascii="Verdana" w:hAnsi="Verdana"/>
        </w:rPr>
        <w:t>αίνεται ότι</w:t>
      </w:r>
      <w:r w:rsidR="00815B69">
        <w:rPr>
          <w:rFonts w:ascii="Verdana" w:hAnsi="Verdana"/>
        </w:rPr>
        <w:t xml:space="preserve"> </w:t>
      </w:r>
      <w:r w:rsidR="00A8351B">
        <w:rPr>
          <w:rFonts w:ascii="Verdana" w:hAnsi="Verdana"/>
        </w:rPr>
        <w:t xml:space="preserve">η </w:t>
      </w:r>
      <w:proofErr w:type="spellStart"/>
      <w:r w:rsidR="00A8351B">
        <w:rPr>
          <w:rFonts w:ascii="Verdana" w:hAnsi="Verdana"/>
        </w:rPr>
        <w:t>τηλε</w:t>
      </w:r>
      <w:proofErr w:type="spellEnd"/>
      <w:r w:rsidR="00A8351B">
        <w:rPr>
          <w:rFonts w:ascii="Verdana" w:hAnsi="Verdana"/>
        </w:rPr>
        <w:t>-εργασία και οι εξ αποστάσεως ακροαματικές διαδικασίες</w:t>
      </w:r>
      <w:r w:rsidR="00815B69">
        <w:rPr>
          <w:rFonts w:ascii="Verdana" w:hAnsi="Verdana"/>
        </w:rPr>
        <w:t>,</w:t>
      </w:r>
      <w:r w:rsidR="00815B69" w:rsidRPr="00815B69">
        <w:rPr>
          <w:rFonts w:ascii="Verdana" w:hAnsi="Verdana"/>
        </w:rPr>
        <w:t xml:space="preserve"> </w:t>
      </w:r>
      <w:r w:rsidR="00815B69">
        <w:rPr>
          <w:rFonts w:ascii="Verdana" w:hAnsi="Verdana"/>
        </w:rPr>
        <w:t xml:space="preserve">παρά τον σκεπτικισμό και τις επιφυλάξεις, </w:t>
      </w:r>
      <w:r w:rsidR="006F6C47">
        <w:rPr>
          <w:rFonts w:ascii="Verdana" w:hAnsi="Verdana"/>
        </w:rPr>
        <w:t>ήρθαν για να μείνουν</w:t>
      </w:r>
      <w:r w:rsidR="00815B69">
        <w:rPr>
          <w:rFonts w:ascii="Verdana" w:hAnsi="Verdana"/>
        </w:rPr>
        <w:t xml:space="preserve">, ενώ λόγω της πανδημίας επιταχύνθηκε ο ρυθμός εκσυγχρονισμού και υιοθέτησης </w:t>
      </w:r>
      <w:r w:rsidR="00427997">
        <w:rPr>
          <w:rFonts w:ascii="Verdana" w:hAnsi="Verdana"/>
        </w:rPr>
        <w:t xml:space="preserve">εργαλείων Τεχνητής Νοημοσύνης τόσο στη λειτουργία του δικηγορικού γραφείου όσο και στις </w:t>
      </w:r>
      <w:r w:rsidR="000D3718">
        <w:rPr>
          <w:rFonts w:ascii="Verdana" w:hAnsi="Verdana"/>
        </w:rPr>
        <w:t>δικαστηριακές εργασίες.</w:t>
      </w:r>
    </w:p>
    <w:p w14:paraId="28B4FF77" w14:textId="4B526104" w:rsidR="00667BCF" w:rsidRPr="00BD6BFB" w:rsidRDefault="008E769D" w:rsidP="00520349">
      <w:pPr>
        <w:spacing w:after="24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4.- Τέλος, </w:t>
      </w:r>
      <w:r w:rsidR="00667BCF">
        <w:rPr>
          <w:rFonts w:ascii="Verdana" w:hAnsi="Verdana"/>
        </w:rPr>
        <w:t>η Επιτροπή επισκόπησε το πρόγραμμα εργασιών της για το 2021, το οποίο περιλαμβάνει την εξειδίκευση και ανάλυση της ΣΕΣ</w:t>
      </w:r>
      <w:r w:rsidR="005474EC">
        <w:rPr>
          <w:rFonts w:ascii="Verdana" w:hAnsi="Verdana"/>
        </w:rPr>
        <w:t xml:space="preserve">, </w:t>
      </w:r>
      <w:r w:rsidR="00780097">
        <w:rPr>
          <w:rFonts w:ascii="Verdana" w:hAnsi="Verdana"/>
        </w:rPr>
        <w:t xml:space="preserve">την διερεύνηση της σκοπιμότητας εκπόνησης πρότυπης σύμβασης αμοιβαίας αναγνώρισης για τα κράτη μέλη με το ΗΒ, και τις εξελίξεις </w:t>
      </w:r>
      <w:r w:rsidR="00326BFB">
        <w:rPr>
          <w:rFonts w:ascii="Verdana" w:hAnsi="Verdana"/>
        </w:rPr>
        <w:t xml:space="preserve">σε θέματα ηλεκτρονικού εμπορίου σε επίπεδο Παγκόσμιου Οργανισμού Εμπορίου και </w:t>
      </w:r>
      <w:r w:rsidR="00326BFB">
        <w:rPr>
          <w:rFonts w:ascii="Verdana" w:hAnsi="Verdana"/>
          <w:lang w:val="en-US"/>
        </w:rPr>
        <w:t>UNCITRAL</w:t>
      </w:r>
      <w:r>
        <w:rPr>
          <w:rFonts w:ascii="Verdana" w:hAnsi="Verdana"/>
        </w:rPr>
        <w:t>.</w:t>
      </w:r>
    </w:p>
    <w:p w14:paraId="118D6E38" w14:textId="77777777" w:rsidR="00EC0410" w:rsidRPr="007D2A29" w:rsidRDefault="00EC0410" w:rsidP="00622917">
      <w:pPr>
        <w:spacing w:after="0" w:line="360" w:lineRule="auto"/>
        <w:jc w:val="right"/>
        <w:rPr>
          <w:rFonts w:ascii="Verdana" w:hAnsi="Verdana"/>
          <w:b/>
        </w:rPr>
      </w:pPr>
      <w:r w:rsidRPr="007D2A29">
        <w:rPr>
          <w:rFonts w:ascii="Verdana" w:hAnsi="Verdana"/>
          <w:b/>
        </w:rPr>
        <w:t>Για την Ελληνική Αντιπροσωπεία</w:t>
      </w:r>
    </w:p>
    <w:p w14:paraId="79CA2365" w14:textId="7E983331" w:rsidR="00EC0410" w:rsidRPr="007D2A29" w:rsidRDefault="00EC0410" w:rsidP="00622917">
      <w:pPr>
        <w:spacing w:after="0" w:line="360" w:lineRule="auto"/>
        <w:jc w:val="right"/>
        <w:rPr>
          <w:rFonts w:ascii="Verdana" w:hAnsi="Verdana"/>
          <w:b/>
        </w:rPr>
      </w:pPr>
      <w:r w:rsidRPr="007D2A29">
        <w:rPr>
          <w:rFonts w:ascii="Verdana" w:hAnsi="Verdana"/>
          <w:b/>
        </w:rPr>
        <w:t>ΜΑΡΙΑ Π. ΣΤΑΜΑΤΟΓΙΑΝΝΗ</w:t>
      </w:r>
      <w:r w:rsidRPr="007D2A29">
        <w:rPr>
          <w:rFonts w:ascii="Verdana" w:hAnsi="Verdana"/>
          <w:b/>
        </w:rPr>
        <w:tab/>
      </w:r>
    </w:p>
    <w:p w14:paraId="532939F2" w14:textId="38CF3956" w:rsidR="00541ADB" w:rsidRPr="007D2A29" w:rsidRDefault="00EC0410" w:rsidP="00622917">
      <w:pPr>
        <w:spacing w:after="0" w:line="360" w:lineRule="auto"/>
        <w:jc w:val="right"/>
        <w:rPr>
          <w:rFonts w:ascii="Verdana" w:hAnsi="Verdana"/>
        </w:rPr>
      </w:pPr>
      <w:r w:rsidRPr="007D2A29">
        <w:rPr>
          <w:rFonts w:ascii="Verdana" w:hAnsi="Verdana"/>
          <w:b/>
        </w:rPr>
        <w:t>Σύμβουλος ΔΣΠ</w:t>
      </w:r>
      <w:r w:rsidRPr="007D2A29">
        <w:rPr>
          <w:rFonts w:ascii="Verdana" w:hAnsi="Verdana"/>
          <w:b/>
        </w:rPr>
        <w:tab/>
      </w:r>
      <w:r w:rsidRPr="007D2A29">
        <w:rPr>
          <w:rFonts w:ascii="Verdana" w:hAnsi="Verdana"/>
          <w:b/>
        </w:rPr>
        <w:tab/>
      </w:r>
    </w:p>
    <w:sectPr w:rsidR="00541ADB" w:rsidRPr="007D2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DE02E" w14:textId="77777777" w:rsidR="00116B7F" w:rsidRDefault="00116B7F" w:rsidP="00F12191">
      <w:pPr>
        <w:spacing w:after="0" w:line="240" w:lineRule="auto"/>
      </w:pPr>
      <w:r>
        <w:separator/>
      </w:r>
    </w:p>
  </w:endnote>
  <w:endnote w:type="continuationSeparator" w:id="0">
    <w:p w14:paraId="79EF1B68" w14:textId="77777777" w:rsidR="00116B7F" w:rsidRDefault="00116B7F" w:rsidP="00F1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8BDD" w14:textId="77777777" w:rsidR="00116B7F" w:rsidRDefault="00116B7F" w:rsidP="00F12191">
      <w:pPr>
        <w:spacing w:after="0" w:line="240" w:lineRule="auto"/>
      </w:pPr>
      <w:r>
        <w:separator/>
      </w:r>
    </w:p>
  </w:footnote>
  <w:footnote w:type="continuationSeparator" w:id="0">
    <w:p w14:paraId="3601F64D" w14:textId="77777777" w:rsidR="00116B7F" w:rsidRDefault="00116B7F" w:rsidP="00F12191">
      <w:pPr>
        <w:spacing w:after="0" w:line="240" w:lineRule="auto"/>
      </w:pPr>
      <w:r>
        <w:continuationSeparator/>
      </w:r>
    </w:p>
  </w:footnote>
  <w:footnote w:id="1">
    <w:p w14:paraId="5008AA3D" w14:textId="10CBB1C5" w:rsidR="00F12191" w:rsidRPr="00F12191" w:rsidRDefault="00F12191" w:rsidP="002C54C8">
      <w:pPr>
        <w:pStyle w:val="a4"/>
        <w:jc w:val="both"/>
      </w:pPr>
      <w:r>
        <w:rPr>
          <w:rStyle w:val="a5"/>
        </w:rPr>
        <w:footnoteRef/>
      </w:r>
      <w:r>
        <w:t xml:space="preserve"> Σημειώνεται ότι η δικηγορία είναι το μόνο ελεύθερο επάγγελμα </w:t>
      </w:r>
      <w:r w:rsidR="002C54C8">
        <w:t>για το οποίο η ΣΕΣ περιλαμβάνει ειδικές διατάξεις</w:t>
      </w:r>
      <w:r>
        <w:t>, γεγονός που πιστώνεται ως επιτυχία τ</w:t>
      </w:r>
      <w:r w:rsidR="004E1312">
        <w:t xml:space="preserve">ων Άγγλων δικηγόρων που προπαγάνδισαν </w:t>
      </w:r>
      <w:r w:rsidR="002C54C8">
        <w:t>με ιδιαίτερη επιμονή τα αγγλικά διαπραγματευτικά κλιμάκια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313"/>
    <w:multiLevelType w:val="hybridMultilevel"/>
    <w:tmpl w:val="F926B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529"/>
    <w:multiLevelType w:val="hybridMultilevel"/>
    <w:tmpl w:val="59B0464C"/>
    <w:lvl w:ilvl="0" w:tplc="E55CB8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36"/>
    <w:rsid w:val="00000843"/>
    <w:rsid w:val="00002C90"/>
    <w:rsid w:val="00024AF5"/>
    <w:rsid w:val="000268D0"/>
    <w:rsid w:val="00041DA2"/>
    <w:rsid w:val="00046795"/>
    <w:rsid w:val="00097AB7"/>
    <w:rsid w:val="000B5C08"/>
    <w:rsid w:val="000D3718"/>
    <w:rsid w:val="000D5D18"/>
    <w:rsid w:val="00100F55"/>
    <w:rsid w:val="00112C0A"/>
    <w:rsid w:val="00116B7F"/>
    <w:rsid w:val="00117661"/>
    <w:rsid w:val="001227B2"/>
    <w:rsid w:val="00130796"/>
    <w:rsid w:val="00166D36"/>
    <w:rsid w:val="00167A4D"/>
    <w:rsid w:val="00197216"/>
    <w:rsid w:val="001A5CD3"/>
    <w:rsid w:val="001D3905"/>
    <w:rsid w:val="00207A4F"/>
    <w:rsid w:val="00210EA1"/>
    <w:rsid w:val="00260D55"/>
    <w:rsid w:val="00291C32"/>
    <w:rsid w:val="002A65C5"/>
    <w:rsid w:val="002C54C8"/>
    <w:rsid w:val="002C630A"/>
    <w:rsid w:val="003061AF"/>
    <w:rsid w:val="00326BFB"/>
    <w:rsid w:val="003C671A"/>
    <w:rsid w:val="00400442"/>
    <w:rsid w:val="00401425"/>
    <w:rsid w:val="00427997"/>
    <w:rsid w:val="00454B30"/>
    <w:rsid w:val="004550F1"/>
    <w:rsid w:val="00476D46"/>
    <w:rsid w:val="00486FDA"/>
    <w:rsid w:val="004B75F7"/>
    <w:rsid w:val="004E1312"/>
    <w:rsid w:val="00520349"/>
    <w:rsid w:val="00520CBA"/>
    <w:rsid w:val="00541ADB"/>
    <w:rsid w:val="005474EC"/>
    <w:rsid w:val="005535C1"/>
    <w:rsid w:val="005835C0"/>
    <w:rsid w:val="005A6200"/>
    <w:rsid w:val="005A6377"/>
    <w:rsid w:val="005A65AF"/>
    <w:rsid w:val="005B11CE"/>
    <w:rsid w:val="005B6C0A"/>
    <w:rsid w:val="005E0F82"/>
    <w:rsid w:val="005F0057"/>
    <w:rsid w:val="00603EF7"/>
    <w:rsid w:val="00622917"/>
    <w:rsid w:val="00667BCF"/>
    <w:rsid w:val="006B0CB0"/>
    <w:rsid w:val="006E3D42"/>
    <w:rsid w:val="006E5BEC"/>
    <w:rsid w:val="006F6C47"/>
    <w:rsid w:val="006F7166"/>
    <w:rsid w:val="007125FD"/>
    <w:rsid w:val="00736B2D"/>
    <w:rsid w:val="00746967"/>
    <w:rsid w:val="00780097"/>
    <w:rsid w:val="00782E4C"/>
    <w:rsid w:val="00797E18"/>
    <w:rsid w:val="007A493F"/>
    <w:rsid w:val="007C7CA7"/>
    <w:rsid w:val="007D2A29"/>
    <w:rsid w:val="008061F5"/>
    <w:rsid w:val="00815B69"/>
    <w:rsid w:val="00832149"/>
    <w:rsid w:val="008345FA"/>
    <w:rsid w:val="00840BD6"/>
    <w:rsid w:val="008767AC"/>
    <w:rsid w:val="008A2294"/>
    <w:rsid w:val="008A74CF"/>
    <w:rsid w:val="008B5AD7"/>
    <w:rsid w:val="008C2661"/>
    <w:rsid w:val="008C567B"/>
    <w:rsid w:val="008E769D"/>
    <w:rsid w:val="008E7A45"/>
    <w:rsid w:val="008E7C40"/>
    <w:rsid w:val="008F4356"/>
    <w:rsid w:val="008F7A09"/>
    <w:rsid w:val="00932826"/>
    <w:rsid w:val="009A217A"/>
    <w:rsid w:val="009A49D3"/>
    <w:rsid w:val="009B0B10"/>
    <w:rsid w:val="009B63C6"/>
    <w:rsid w:val="009E5314"/>
    <w:rsid w:val="00A1355E"/>
    <w:rsid w:val="00A22424"/>
    <w:rsid w:val="00A32331"/>
    <w:rsid w:val="00A44451"/>
    <w:rsid w:val="00A4718A"/>
    <w:rsid w:val="00A8351B"/>
    <w:rsid w:val="00AD2547"/>
    <w:rsid w:val="00AD7CF2"/>
    <w:rsid w:val="00B32820"/>
    <w:rsid w:val="00B47CEA"/>
    <w:rsid w:val="00B61268"/>
    <w:rsid w:val="00BD6BFB"/>
    <w:rsid w:val="00BE0158"/>
    <w:rsid w:val="00C057C9"/>
    <w:rsid w:val="00C05BC9"/>
    <w:rsid w:val="00C25561"/>
    <w:rsid w:val="00C40119"/>
    <w:rsid w:val="00C86E4F"/>
    <w:rsid w:val="00CB096F"/>
    <w:rsid w:val="00CF0694"/>
    <w:rsid w:val="00D06AD9"/>
    <w:rsid w:val="00D17825"/>
    <w:rsid w:val="00D5530B"/>
    <w:rsid w:val="00D80308"/>
    <w:rsid w:val="00D91CF1"/>
    <w:rsid w:val="00D93136"/>
    <w:rsid w:val="00D934B0"/>
    <w:rsid w:val="00DA3809"/>
    <w:rsid w:val="00DA5FF3"/>
    <w:rsid w:val="00DB6032"/>
    <w:rsid w:val="00DF6AB6"/>
    <w:rsid w:val="00E0020E"/>
    <w:rsid w:val="00E00B49"/>
    <w:rsid w:val="00E2275A"/>
    <w:rsid w:val="00E3478A"/>
    <w:rsid w:val="00EC0410"/>
    <w:rsid w:val="00EC2A67"/>
    <w:rsid w:val="00ED6F90"/>
    <w:rsid w:val="00EE2339"/>
    <w:rsid w:val="00F12191"/>
    <w:rsid w:val="00F13950"/>
    <w:rsid w:val="00F43C81"/>
    <w:rsid w:val="00F44094"/>
    <w:rsid w:val="00F956AE"/>
    <w:rsid w:val="00FC2850"/>
    <w:rsid w:val="00FD329C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B223"/>
  <w15:chartTrackingRefBased/>
  <w15:docId w15:val="{EF5415C6-631F-477C-818E-E9E2D02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0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F5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125FD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F1219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121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2191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4B7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epej-10-06-2020-declaration-in-greek-covid-19/16809ee8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L/TXT/PDF/?uri=CELEX:22020A1231(01)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e.int/en/web/cepej/compilation-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Stamatogianni</dc:creator>
  <cp:keywords/>
  <dc:description/>
  <cp:lastModifiedBy>User</cp:lastModifiedBy>
  <cp:revision>2</cp:revision>
  <dcterms:created xsi:type="dcterms:W3CDTF">2021-02-12T08:47:00Z</dcterms:created>
  <dcterms:modified xsi:type="dcterms:W3CDTF">2021-02-12T08:47:00Z</dcterms:modified>
</cp:coreProperties>
</file>