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7DA5" w14:textId="6FC3E77C" w:rsidR="003C58BA" w:rsidRPr="00225434" w:rsidRDefault="00225434" w:rsidP="003C58BA">
      <w:pPr>
        <w:pStyle w:val="CCBETitre"/>
        <w:jc w:val="center"/>
        <w:rPr>
          <w:rFonts w:asciiTheme="minorHAnsi" w:hAnsiTheme="minorHAnsi" w:cs="Arial"/>
          <w:b/>
          <w:bCs/>
          <w:sz w:val="32"/>
          <w:szCs w:val="32"/>
          <w:lang w:val="el-GR"/>
        </w:rPr>
      </w:pPr>
      <w:r>
        <w:rPr>
          <w:rFonts w:asciiTheme="minorHAnsi" w:hAnsiTheme="minorHAnsi" w:cs="Arial"/>
          <w:b/>
          <w:bCs/>
          <w:sz w:val="32"/>
          <w:szCs w:val="32"/>
          <w:lang w:val="el-GR" w:bidi="he-IL"/>
        </w:rPr>
        <w:t>Πρακτικά</w:t>
      </w:r>
      <w:r w:rsidRPr="00225434">
        <w:rPr>
          <w:rFonts w:asciiTheme="minorHAnsi" w:hAnsiTheme="minorHAnsi" w:cs="Arial"/>
          <w:b/>
          <w:bCs/>
          <w:sz w:val="32"/>
          <w:szCs w:val="32"/>
          <w:lang w:val="el-GR" w:bidi="he-IL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el-GR" w:bidi="he-IL"/>
        </w:rPr>
        <w:t>κοινής</w:t>
      </w:r>
      <w:r w:rsidRPr="00225434">
        <w:rPr>
          <w:rFonts w:asciiTheme="minorHAnsi" w:hAnsiTheme="minorHAnsi" w:cs="Arial"/>
          <w:b/>
          <w:bCs/>
          <w:sz w:val="32"/>
          <w:szCs w:val="32"/>
          <w:lang w:val="el-GR" w:bidi="he-IL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el-GR" w:bidi="he-IL"/>
        </w:rPr>
        <w:t>συνεδρίασης</w:t>
      </w:r>
      <w:r w:rsidRPr="00225434">
        <w:rPr>
          <w:rFonts w:asciiTheme="minorHAnsi" w:hAnsiTheme="minorHAnsi" w:cs="Arial"/>
          <w:b/>
          <w:bCs/>
          <w:sz w:val="32"/>
          <w:szCs w:val="32"/>
          <w:lang w:val="el-GR" w:bidi="he-IL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el-GR" w:bidi="he-IL"/>
        </w:rPr>
        <w:t>Επιτροπών</w:t>
      </w:r>
      <w:r w:rsidRPr="00225434">
        <w:rPr>
          <w:rFonts w:asciiTheme="minorHAnsi" w:hAnsiTheme="minorHAnsi" w:cs="Arial"/>
          <w:b/>
          <w:bCs/>
          <w:sz w:val="32"/>
          <w:szCs w:val="32"/>
          <w:lang w:val="el-GR" w:bidi="he-IL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el-GR" w:bidi="he-IL"/>
        </w:rPr>
        <w:t xml:space="preserve">Πληροφορικής και Παρακολουθήσεων </w:t>
      </w:r>
      <w:r>
        <w:rPr>
          <w:rFonts w:asciiTheme="minorHAnsi" w:hAnsiTheme="minorHAnsi" w:cs="Arial"/>
          <w:b/>
          <w:bCs/>
          <w:sz w:val="32"/>
          <w:szCs w:val="32"/>
          <w:lang w:val="en-US" w:bidi="he-IL"/>
        </w:rPr>
        <w:t>CCBE</w:t>
      </w:r>
      <w:r w:rsidRPr="00225434">
        <w:rPr>
          <w:rFonts w:asciiTheme="minorHAnsi" w:hAnsiTheme="minorHAnsi" w:cs="Arial"/>
          <w:b/>
          <w:bCs/>
          <w:sz w:val="32"/>
          <w:szCs w:val="32"/>
          <w:lang w:val="el-GR" w:bidi="he-IL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el-GR" w:bidi="he-IL"/>
        </w:rPr>
        <w:t>(</w:t>
      </w:r>
      <w:r w:rsidR="00A20E1F" w:rsidRPr="003729FE">
        <w:rPr>
          <w:rFonts w:ascii="DIN 2014" w:hAnsi="DIN 2014" w:cs="Arial"/>
          <w:b/>
          <w:bCs/>
          <w:sz w:val="32"/>
          <w:szCs w:val="32"/>
        </w:rPr>
        <w:t>IT</w:t>
      </w:r>
      <w:r w:rsidR="00A20E1F" w:rsidRPr="00225434">
        <w:rPr>
          <w:rFonts w:ascii="DIN 2014" w:hAnsi="DIN 2014" w:cs="Arial"/>
          <w:b/>
          <w:bCs/>
          <w:sz w:val="32"/>
          <w:szCs w:val="32"/>
          <w:lang w:val="el-GR"/>
        </w:rPr>
        <w:t xml:space="preserve"> </w:t>
      </w:r>
      <w:r w:rsidR="00A20E1F" w:rsidRPr="003729FE">
        <w:rPr>
          <w:rFonts w:ascii="DIN 2014" w:hAnsi="DIN 2014" w:cs="Arial"/>
          <w:b/>
          <w:bCs/>
          <w:sz w:val="32"/>
          <w:szCs w:val="32"/>
        </w:rPr>
        <w:t>Law</w:t>
      </w:r>
      <w:r w:rsidR="00A20E1F" w:rsidRPr="00225434">
        <w:rPr>
          <w:rFonts w:ascii="DIN 2014" w:hAnsi="DIN 2014" w:cs="Arial"/>
          <w:b/>
          <w:bCs/>
          <w:sz w:val="32"/>
          <w:szCs w:val="32"/>
          <w:lang w:val="el-GR"/>
        </w:rPr>
        <w:t xml:space="preserve"> </w:t>
      </w:r>
      <w:r w:rsidR="003C58BA" w:rsidRPr="003729FE">
        <w:rPr>
          <w:rFonts w:ascii="DIN 2014" w:hAnsi="DIN 2014" w:cs="Arial"/>
          <w:b/>
          <w:bCs/>
          <w:sz w:val="32"/>
          <w:szCs w:val="32"/>
        </w:rPr>
        <w:t>Committee</w:t>
      </w:r>
      <w:r w:rsidR="003C58BA" w:rsidRPr="00225434">
        <w:rPr>
          <w:rFonts w:ascii="DIN 2014" w:hAnsi="DIN 2014" w:cs="Arial"/>
          <w:b/>
          <w:bCs/>
          <w:sz w:val="32"/>
          <w:szCs w:val="32"/>
          <w:lang w:val="el-GR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el-GR"/>
        </w:rPr>
        <w:t xml:space="preserve">- </w:t>
      </w:r>
      <w:r w:rsidR="00A20E1F" w:rsidRPr="003729FE">
        <w:rPr>
          <w:rFonts w:ascii="DIN 2014" w:hAnsi="DIN 2014" w:cs="Arial"/>
          <w:b/>
          <w:bCs/>
          <w:sz w:val="32"/>
          <w:szCs w:val="32"/>
        </w:rPr>
        <w:t>WG</w:t>
      </w:r>
      <w:r w:rsidR="00A20E1F" w:rsidRPr="00225434">
        <w:rPr>
          <w:rFonts w:ascii="DIN 2014" w:hAnsi="DIN 2014" w:cs="Arial"/>
          <w:b/>
          <w:bCs/>
          <w:sz w:val="32"/>
          <w:szCs w:val="32"/>
          <w:lang w:val="el-GR"/>
        </w:rPr>
        <w:t xml:space="preserve"> </w:t>
      </w:r>
      <w:r w:rsidR="00A20E1F" w:rsidRPr="003729FE">
        <w:rPr>
          <w:rFonts w:ascii="DIN 2014" w:hAnsi="DIN 2014" w:cs="Arial"/>
          <w:b/>
          <w:bCs/>
          <w:sz w:val="32"/>
          <w:szCs w:val="32"/>
        </w:rPr>
        <w:t>Surveillance</w:t>
      </w:r>
      <w:r>
        <w:rPr>
          <w:rFonts w:asciiTheme="minorHAnsi" w:hAnsiTheme="minorHAnsi" w:cs="Arial"/>
          <w:b/>
          <w:bCs/>
          <w:sz w:val="32"/>
          <w:szCs w:val="32"/>
          <w:lang w:val="el-GR"/>
        </w:rPr>
        <w:t>)</w:t>
      </w:r>
    </w:p>
    <w:p w14:paraId="26A010F0" w14:textId="1306A7F8" w:rsidR="003C58BA" w:rsidRPr="00225434" w:rsidRDefault="00B54E5B" w:rsidP="003C58BA">
      <w:pPr>
        <w:pStyle w:val="CCBEdate"/>
        <w:jc w:val="center"/>
        <w:rPr>
          <w:rFonts w:cs="Arial"/>
          <w:sz w:val="22"/>
          <w:szCs w:val="22"/>
          <w:lang w:val="el-GR"/>
        </w:rPr>
      </w:pPr>
      <w:r w:rsidRPr="00225434">
        <w:rPr>
          <w:rFonts w:cs="Arial"/>
          <w:sz w:val="22"/>
          <w:szCs w:val="22"/>
          <w:lang w:val="el-GR"/>
        </w:rPr>
        <w:t>2</w:t>
      </w:r>
      <w:r w:rsidR="00A20E1F" w:rsidRPr="00225434">
        <w:rPr>
          <w:rFonts w:cs="Arial"/>
          <w:sz w:val="22"/>
          <w:szCs w:val="22"/>
          <w:lang w:val="el-GR"/>
        </w:rPr>
        <w:t>9</w:t>
      </w:r>
      <w:r w:rsidR="005A78CA" w:rsidRPr="00225434">
        <w:rPr>
          <w:rFonts w:cs="Arial"/>
          <w:sz w:val="22"/>
          <w:szCs w:val="22"/>
          <w:lang w:val="el-GR"/>
        </w:rPr>
        <w:t xml:space="preserve"> </w:t>
      </w:r>
      <w:r w:rsidR="00225434">
        <w:rPr>
          <w:rFonts w:asciiTheme="minorHAnsi" w:hAnsiTheme="minorHAnsi" w:cs="Arial"/>
          <w:sz w:val="22"/>
          <w:szCs w:val="22"/>
          <w:lang w:val="el-GR"/>
        </w:rPr>
        <w:t>Ιουνίου</w:t>
      </w:r>
      <w:r w:rsidRPr="00225434">
        <w:rPr>
          <w:rFonts w:cs="Arial"/>
          <w:sz w:val="22"/>
          <w:szCs w:val="22"/>
          <w:lang w:val="el-GR"/>
        </w:rPr>
        <w:t xml:space="preserve"> </w:t>
      </w:r>
      <w:r w:rsidR="003C58BA" w:rsidRPr="00225434">
        <w:rPr>
          <w:rFonts w:cs="Arial"/>
          <w:sz w:val="22"/>
          <w:szCs w:val="22"/>
          <w:lang w:val="el-GR"/>
        </w:rPr>
        <w:t>2023</w:t>
      </w:r>
      <w:r w:rsidR="008C47A7" w:rsidRPr="00225434">
        <w:rPr>
          <w:rFonts w:cs="Arial"/>
          <w:sz w:val="22"/>
          <w:szCs w:val="22"/>
          <w:lang w:val="el-GR"/>
        </w:rPr>
        <w:t xml:space="preserve"> – </w:t>
      </w:r>
      <w:r w:rsidR="00A20E1F" w:rsidRPr="00225434">
        <w:rPr>
          <w:rFonts w:cs="Arial"/>
          <w:sz w:val="22"/>
          <w:szCs w:val="22"/>
          <w:lang w:val="el-GR"/>
        </w:rPr>
        <w:t>10</w:t>
      </w:r>
      <w:r w:rsidR="008C47A7" w:rsidRPr="00225434">
        <w:rPr>
          <w:rFonts w:cs="Arial"/>
          <w:sz w:val="22"/>
          <w:szCs w:val="22"/>
          <w:lang w:val="el-GR"/>
        </w:rPr>
        <w:t>.</w:t>
      </w:r>
      <w:r w:rsidR="00A20E1F" w:rsidRPr="00225434">
        <w:rPr>
          <w:rFonts w:cs="Arial"/>
          <w:sz w:val="22"/>
          <w:szCs w:val="22"/>
          <w:lang w:val="el-GR"/>
        </w:rPr>
        <w:t>0</w:t>
      </w:r>
      <w:r w:rsidR="00E01CEB" w:rsidRPr="00225434">
        <w:rPr>
          <w:rFonts w:cs="Arial"/>
          <w:sz w:val="22"/>
          <w:szCs w:val="22"/>
          <w:lang w:val="el-GR"/>
        </w:rPr>
        <w:t>0</w:t>
      </w:r>
      <w:r w:rsidR="008C47A7" w:rsidRPr="00225434">
        <w:rPr>
          <w:rFonts w:cs="Arial"/>
          <w:sz w:val="22"/>
          <w:szCs w:val="22"/>
          <w:lang w:val="el-GR"/>
        </w:rPr>
        <w:t xml:space="preserve"> – </w:t>
      </w:r>
      <w:r w:rsidR="005A0346" w:rsidRPr="00225434">
        <w:rPr>
          <w:rFonts w:cs="Arial"/>
          <w:sz w:val="22"/>
          <w:szCs w:val="22"/>
          <w:lang w:val="el-GR"/>
        </w:rPr>
        <w:t>1</w:t>
      </w:r>
      <w:r w:rsidR="00A20E1F" w:rsidRPr="00225434">
        <w:rPr>
          <w:rFonts w:cs="Arial"/>
          <w:sz w:val="22"/>
          <w:szCs w:val="22"/>
          <w:lang w:val="el-GR"/>
        </w:rPr>
        <w:t>3</w:t>
      </w:r>
      <w:r w:rsidR="008C47A7" w:rsidRPr="00225434">
        <w:rPr>
          <w:rFonts w:cs="Arial"/>
          <w:sz w:val="22"/>
          <w:szCs w:val="22"/>
          <w:lang w:val="el-GR"/>
        </w:rPr>
        <w:t>.</w:t>
      </w:r>
      <w:r w:rsidR="00A20E1F" w:rsidRPr="00225434">
        <w:rPr>
          <w:rFonts w:cs="Arial"/>
          <w:sz w:val="22"/>
          <w:szCs w:val="22"/>
          <w:lang w:val="el-GR"/>
        </w:rPr>
        <w:t>0</w:t>
      </w:r>
      <w:r w:rsidR="008C47A7" w:rsidRPr="00225434">
        <w:rPr>
          <w:rFonts w:cs="Arial"/>
          <w:sz w:val="22"/>
          <w:szCs w:val="22"/>
          <w:lang w:val="el-GR"/>
        </w:rPr>
        <w:t xml:space="preserve">0 </w:t>
      </w:r>
    </w:p>
    <w:p w14:paraId="321AC315" w14:textId="77777777" w:rsidR="00225434" w:rsidRDefault="00225434" w:rsidP="003C58BA">
      <w:pPr>
        <w:pStyle w:val="CCBEdate"/>
        <w:jc w:val="center"/>
        <w:rPr>
          <w:rFonts w:asciiTheme="minorHAnsi" w:hAnsiTheme="minorHAnsi" w:cs="Arial"/>
          <w:i/>
          <w:iCs/>
          <w:sz w:val="22"/>
          <w:szCs w:val="22"/>
          <w:lang w:val="el-GR"/>
        </w:rPr>
      </w:pPr>
      <w:r>
        <w:rPr>
          <w:rFonts w:asciiTheme="minorHAnsi" w:hAnsiTheme="minorHAnsi" w:cs="Arial"/>
          <w:i/>
          <w:iCs/>
          <w:sz w:val="22"/>
          <w:szCs w:val="22"/>
          <w:lang w:val="el-GR"/>
        </w:rPr>
        <w:t xml:space="preserve">Εθνικό Ίδρυμα Ερευνών «Ελ.Βενιζέλος», Χανιά </w:t>
      </w:r>
    </w:p>
    <w:p w14:paraId="65B6938A" w14:textId="77777777" w:rsidR="003C58BA" w:rsidRDefault="009F312F" w:rsidP="003C58BA">
      <w:pPr>
        <w:jc w:val="center"/>
        <w:rPr>
          <w:color w:val="002060"/>
          <w:sz w:val="24"/>
        </w:rPr>
      </w:pPr>
      <w:r>
        <w:rPr>
          <w:color w:val="002060"/>
          <w:sz w:val="24"/>
        </w:rPr>
        <w:pict w14:anchorId="45D75B04">
          <v:rect id="_x0000_i1025" style="width:453.6pt;height:1.5pt" o:hralign="center" o:hrstd="t" o:hrnoshade="t" o:hr="t" fillcolor="#002060" stroked="f"/>
        </w:pict>
      </w:r>
    </w:p>
    <w:p w14:paraId="1B15D922" w14:textId="1C749BF7" w:rsidR="003C58BA" w:rsidRPr="00225434" w:rsidRDefault="00225434" w:rsidP="00225434">
      <w:pPr>
        <w:pStyle w:val="CCBEtitre01"/>
        <w:numPr>
          <w:ilvl w:val="0"/>
          <w:numId w:val="1"/>
        </w:numPr>
        <w:rPr>
          <w:sz w:val="30"/>
          <w:szCs w:val="30"/>
        </w:rPr>
      </w:pPr>
      <w:r>
        <w:rPr>
          <w:rFonts w:asciiTheme="minorHAnsi" w:hAnsiTheme="minorHAnsi"/>
          <w:sz w:val="30"/>
          <w:szCs w:val="30"/>
          <w:lang w:val="el-GR"/>
        </w:rPr>
        <w:t>Έγκριση</w:t>
      </w:r>
      <w:r w:rsidRPr="00225434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Προηγούμενων</w:t>
      </w:r>
      <w:r w:rsidRPr="00225434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Πρακτικών</w:t>
      </w:r>
    </w:p>
    <w:p w14:paraId="5D5EB2DB" w14:textId="67E129EB" w:rsidR="008A520D" w:rsidRPr="00225434" w:rsidRDefault="00225434" w:rsidP="008A520D">
      <w:pPr>
        <w:pStyle w:val="CCBEtitre01"/>
        <w:numPr>
          <w:ilvl w:val="0"/>
          <w:numId w:val="1"/>
        </w:numPr>
        <w:rPr>
          <w:sz w:val="30"/>
          <w:szCs w:val="30"/>
          <w:lang w:val="el-GR"/>
        </w:rPr>
      </w:pPr>
      <w:r>
        <w:rPr>
          <w:rFonts w:asciiTheme="minorHAnsi" w:hAnsiTheme="minorHAnsi"/>
          <w:sz w:val="30"/>
          <w:szCs w:val="30"/>
          <w:lang w:val="el-GR"/>
        </w:rPr>
        <w:t>Ενημέρωση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από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τη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Γραμματεία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 w:rsidR="00F3213A" w:rsidRPr="003729FE">
        <w:rPr>
          <w:sz w:val="30"/>
          <w:szCs w:val="30"/>
        </w:rPr>
        <w:t>CCBE</w:t>
      </w:r>
      <w:r w:rsidR="00F3213A" w:rsidRPr="00225434">
        <w:rPr>
          <w:sz w:val="30"/>
          <w:szCs w:val="30"/>
          <w:lang w:val="el-GR"/>
        </w:rPr>
        <w:t xml:space="preserve"> </w:t>
      </w:r>
    </w:p>
    <w:p w14:paraId="14B5569C" w14:textId="12235B28" w:rsidR="00613142" w:rsidRPr="003729FE" w:rsidRDefault="00225434" w:rsidP="008A520D">
      <w:pPr>
        <w:pStyle w:val="CCBEtitre01"/>
        <w:numPr>
          <w:ilvl w:val="0"/>
          <w:numId w:val="1"/>
        </w:numPr>
        <w:rPr>
          <w:sz w:val="30"/>
          <w:szCs w:val="30"/>
        </w:rPr>
      </w:pPr>
      <w:r>
        <w:rPr>
          <w:rFonts w:asciiTheme="minorHAnsi" w:hAnsiTheme="minorHAnsi"/>
          <w:sz w:val="30"/>
          <w:szCs w:val="30"/>
          <w:lang w:val="el-GR"/>
        </w:rPr>
        <w:t>Τεχνητή Νοημοσύνη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142" w:rsidRPr="005D0F9D" w14:paraId="3F093210" w14:textId="77777777" w:rsidTr="005D0F9D">
        <w:tc>
          <w:tcPr>
            <w:tcW w:w="9072" w:type="dxa"/>
          </w:tcPr>
          <w:p w14:paraId="0FAEFD6F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 xml:space="preserve">Το Ευρωπαικό Κοινοβούλιο πρόσφατα υπερψήφισε την πρόταση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EE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περί της Τεχνητής Νοημοσύνης/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EU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Artificial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Intelligence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AI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Act</w:t>
            </w:r>
            <w:r w:rsidRPr="005D0F9D">
              <w:rPr>
                <w:rFonts w:asciiTheme="minorHAnsi" w:hAnsiTheme="minorHAnsi" w:cstheme="minorHAnsi"/>
                <w:color w:val="000000"/>
              </w:rPr>
              <w:t>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473D361C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>Η πρόταση τώρα θα τεθεί σε διαβούλευση κατά τον τριμερή διάλογο (Ευρωπαική Επιτροπή-Ευρωπαικό Συμβούλιο-Ευρωπαικό Κοινοβούλιο), ο οποίος θα ολοκληρωθεί κατά το τέλος του έτους 2023.</w:t>
            </w:r>
          </w:p>
          <w:p w14:paraId="12519F26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 xml:space="preserve">Τα Μέλη της Κοινής Επιτροπής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IT</w:t>
            </w:r>
            <w:r w:rsidRPr="005D0F9D">
              <w:rPr>
                <w:rFonts w:asciiTheme="minorHAnsi" w:hAnsiTheme="minorHAnsi" w:cstheme="minorHAnsi"/>
                <w:color w:val="000000"/>
              </w:rPr>
              <w:t>/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Surveillance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κλήθηκαν να συζητήσουν τη στάση που θα πρέπει να τηρήσει το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CCBE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στις επερχόμενες διαβουλεύσεις καθώς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και να υποδείξουν τις κυριώτερες θέσεις που πρέπει αυτό να υποστηρίξει κατά τη διάρκεια του άνω διαλόγου.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60533983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>Μετά από συζήτηση των αντιπροσωπειών,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αποφασίστηκε να υποστηριχθεί με περαιτέρω τεκμηρίωση το Κείμενο Θέσης περί της Τεχνητής Νοημοσύνης (ΤΝ) που πρόσφατα υιοθέτησε το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CCBE</w:t>
            </w:r>
            <w:r w:rsidRPr="005D0F9D">
              <w:rPr>
                <w:rFonts w:asciiTheme="minorHAnsi" w:hAnsiTheme="minorHAnsi" w:cstheme="minorHAnsi"/>
                <w:color w:val="000000"/>
              </w:rPr>
              <w:t>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73D24615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>Ως προς τις προτεραιότητες που θα θέσει το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CCBE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ως προς τον χώρο της δικαιοσύνης, συμφωνήθηκε αυτές να περιλαμβάνουν την επέκταση των περιοχών όπου θα ισχύει η απαγόρευση χρήσης της ΤΝ, η ενίσχυση του ανθρώπινου παράγοντα στη διαδικασία λήψης αποφάσεων με χρήση ΤΝ, η διασφάλιση της δίκαιης δίκης κλπ.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64D77841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>Εκ της ελληνικής αντιπροσωπείας, υπογραμμίστηκε η ανάγκη εξέτασης της επέκτασης της απαγόρευσης χρήσης της ΤΝ σε περιπτώσεις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όπως η ταυτοποίηση προσώπου εκ των βιομετρικών χαρακτηριστικών σε δημόσιους χώρους, η αναγνώριση συναισθήματος, η βιομετρική κατηγοριοποίηση, η χρήση ΤΝ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σε αξιολόγηση προσφύγων κατά τα αιτήματα ασύλου κλπ.</w:t>
            </w:r>
          </w:p>
          <w:p w14:paraId="2EC10C7F" w14:textId="1A642840" w:rsidR="00F445D2" w:rsidRPr="005D0F9D" w:rsidRDefault="005D0F9D" w:rsidP="005D0F9D">
            <w:pPr>
              <w:pStyle w:val="Web"/>
              <w:spacing w:before="0" w:beforeAutospacing="0" w:after="0" w:afterAutospacing="0"/>
            </w:pPr>
            <w:r w:rsidRPr="005D0F9D">
              <w:rPr>
                <w:rFonts w:asciiTheme="minorHAnsi" w:hAnsiTheme="minorHAnsi" w:cstheme="minorHAnsi"/>
                <w:color w:val="000000"/>
              </w:rPr>
              <w:t>Ακόμη, ζητήθηκε ως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αναγκαιότητα η αξιολόγηση του τυχόν κινδύνου των θεμελιωδών δικαιωμάτων εκ της χρήσης ΤΝ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fundamental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rights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impact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assesment</w:t>
            </w:r>
            <w:r w:rsidRPr="005D0F9D">
              <w:rPr>
                <w:rFonts w:asciiTheme="minorHAnsi" w:hAnsiTheme="minorHAnsi" w:cstheme="minorHAnsi"/>
                <w:color w:val="000000"/>
              </w:rPr>
              <w:t>), το αποτελεσματικό δικαίωμα πληροφόρησης και εξηγήσεων όταν το άτομο τίθεται υπό τη χρήση συστημάτων ΤΝ, η δυνατότητα ανανέωσης των απαγορευμένων ή περιορισμένων χρήσεων ΤΝ (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possibility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to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update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“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prohibited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”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or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“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limited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”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risk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AI</w:t>
            </w:r>
            <w:r w:rsidRPr="005D0F9D">
              <w:rPr>
                <w:rFonts w:asciiTheme="minorHAnsi" w:hAnsiTheme="minorHAnsi" w:cstheme="minorHAnsi"/>
                <w:color w:val="000000"/>
              </w:rPr>
              <w:t>).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</w:tc>
      </w:tr>
    </w:tbl>
    <w:p w14:paraId="4BA2793F" w14:textId="1A447D72" w:rsidR="003C58BA" w:rsidRPr="003729FE" w:rsidRDefault="00225434" w:rsidP="005D0F9D">
      <w:pPr>
        <w:pStyle w:val="CCBEtitre01"/>
        <w:numPr>
          <w:ilvl w:val="0"/>
          <w:numId w:val="1"/>
        </w:numPr>
        <w:rPr>
          <w:sz w:val="30"/>
          <w:szCs w:val="30"/>
        </w:rPr>
      </w:pPr>
      <w:r>
        <w:rPr>
          <w:rFonts w:asciiTheme="minorHAnsi" w:hAnsiTheme="minorHAnsi"/>
          <w:sz w:val="30"/>
          <w:szCs w:val="30"/>
          <w:lang w:val="el-GR"/>
        </w:rPr>
        <w:t>Κανονισμός</w:t>
      </w:r>
      <w:r w:rsidR="00810091" w:rsidRPr="003729FE">
        <w:rPr>
          <w:sz w:val="30"/>
          <w:szCs w:val="30"/>
        </w:rPr>
        <w:t xml:space="preserve"> on European production and preservation orders for electronic evidence in criminal matters (e-evidence)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2A3" w:rsidRPr="0048385C" w14:paraId="2A0D9E13" w14:textId="77777777" w:rsidTr="007109E0">
        <w:trPr>
          <w:trHeight w:val="537"/>
        </w:trPr>
        <w:tc>
          <w:tcPr>
            <w:tcW w:w="9212" w:type="dxa"/>
          </w:tcPr>
          <w:p w14:paraId="28024FD0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>Ο Κανονισμός για την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παραγωγή και διατήρηση εντολών περί των ηλεκτρονικών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αποδείξεων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σε ποινικές διαδικασίες ψηφίστηκε από το Κοινοβούλιο και αναμένεται η έγκρισή του από το Ευρωπαικό Συμβούλιο στις 27 Ιουνίου 2023.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7BBCB3AD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lastRenderedPageBreak/>
              <w:t xml:space="preserve">Μετά από συζήτηση των αντιπροσωπειών, συμφωνήθηκε η παρακολούθηση του θέματος από το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CCBE</w:t>
            </w:r>
            <w:r w:rsidRPr="005D0F9D">
              <w:rPr>
                <w:rFonts w:asciiTheme="minorHAnsi" w:hAnsiTheme="minorHAnsi" w:cstheme="minorHAnsi"/>
                <w:color w:val="000000"/>
              </w:rPr>
              <w:t>, με κατάθεση προτάσεων και ανάληψη πρωτοβουλιών στα προβληματικά σημεία του Κανονισμού.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4EFBB9A4" w14:textId="2ADA0F5B" w:rsidR="00746C4B" w:rsidRPr="0048385C" w:rsidRDefault="005D0F9D" w:rsidP="005D0F9D">
            <w:pPr>
              <w:pStyle w:val="Web"/>
              <w:spacing w:before="0" w:beforeAutospacing="0" w:after="0" w:afterAutospacing="0"/>
            </w:pPr>
            <w:r w:rsidRPr="005D0F9D">
              <w:rPr>
                <w:rFonts w:asciiTheme="minorHAnsi" w:hAnsiTheme="minorHAnsi" w:cstheme="minorHAnsi"/>
                <w:color w:val="000000"/>
              </w:rPr>
              <w:t>Η Ελληνική Αντιπροσωπεία αναφέρθηκε στην ένδεια ουσιαστικών διατάξεων του Κανονισμού για την προστασία του δικηγορικού απορρήτου,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στον περιορισμό του δικαιώματος ενημέρωσης του θιγόμενου προσώπου και στην απουσία δικαιώματος αποτελεσματικής προσφυγής,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ως άκρως προβληματικές περιοχές όπου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θα πρέπει να εστιαστεί η προσοχή και οι μελλοντικές δράσεις της Επιτροπής.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</w:tc>
      </w:tr>
    </w:tbl>
    <w:p w14:paraId="3032FC3D" w14:textId="09D58225" w:rsidR="00495615" w:rsidRPr="00225434" w:rsidRDefault="00225434" w:rsidP="001F6D5C">
      <w:pPr>
        <w:pStyle w:val="CCBEtitre01"/>
        <w:numPr>
          <w:ilvl w:val="0"/>
          <w:numId w:val="1"/>
        </w:numPr>
        <w:rPr>
          <w:sz w:val="30"/>
          <w:szCs w:val="30"/>
          <w:lang w:val="el-GR"/>
        </w:rPr>
      </w:pPr>
      <w:r>
        <w:rPr>
          <w:rFonts w:asciiTheme="minorHAnsi" w:hAnsiTheme="minorHAnsi"/>
          <w:sz w:val="30"/>
          <w:szCs w:val="30"/>
          <w:lang w:val="el-GR"/>
        </w:rPr>
        <w:lastRenderedPageBreak/>
        <w:t xml:space="preserve">Πρόταση Κανονισμού κατά της Παιδικής Κακοποίησης </w:t>
      </w:r>
      <w:r w:rsidR="0088799C" w:rsidRPr="00225434">
        <w:rPr>
          <w:sz w:val="30"/>
          <w:szCs w:val="30"/>
          <w:lang w:val="el-GR"/>
        </w:rPr>
        <w:t>(</w:t>
      </w:r>
      <w:r w:rsidR="0088799C">
        <w:rPr>
          <w:sz w:val="30"/>
          <w:szCs w:val="30"/>
        </w:rPr>
        <w:t>CSAM</w:t>
      </w:r>
      <w:r w:rsidR="0088799C" w:rsidRPr="00225434">
        <w:rPr>
          <w:sz w:val="30"/>
          <w:szCs w:val="30"/>
          <w:lang w:val="el-GR"/>
        </w:rPr>
        <w:t>)</w:t>
      </w:r>
      <w:r w:rsidR="006869C6" w:rsidRPr="00225434">
        <w:rPr>
          <w:sz w:val="30"/>
          <w:szCs w:val="30"/>
          <w:lang w:val="el-GR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F9D" w:rsidRPr="005D0F9D" w14:paraId="4D64CB73" w14:textId="77777777" w:rsidTr="00DC7D4A">
        <w:trPr>
          <w:trHeight w:val="537"/>
        </w:trPr>
        <w:tc>
          <w:tcPr>
            <w:tcW w:w="9212" w:type="dxa"/>
          </w:tcPr>
          <w:p w14:paraId="36FDD579" w14:textId="77777777" w:rsidR="005D0F9D" w:rsidRPr="005D0F9D" w:rsidRDefault="005D0F9D" w:rsidP="005D0F9D">
            <w:pPr>
              <w:jc w:val="both"/>
              <w:rPr>
                <w:rFonts w:cstheme="minorHAnsi"/>
                <w:color w:val="000000"/>
              </w:rPr>
            </w:pPr>
            <w:r w:rsidRPr="005D0F9D">
              <w:rPr>
                <w:rFonts w:cstheme="minorHAnsi"/>
                <w:color w:val="000000"/>
                <w:lang w:val="el-GR"/>
              </w:rPr>
              <w:t xml:space="preserve">Η Πρόταση συζητείται αυτή τη στιγμή στο Κοινοβούλιο και το Συμβούλιο. Η Επιτροπή </w:t>
            </w:r>
            <w:r w:rsidRPr="005D0F9D">
              <w:rPr>
                <w:rFonts w:cstheme="minorHAnsi"/>
                <w:color w:val="000000"/>
              </w:rPr>
              <w:t>LIBE</w:t>
            </w:r>
            <w:r w:rsidRPr="005D0F9D">
              <w:rPr>
                <w:rFonts w:cstheme="minorHAnsi"/>
                <w:color w:val="000000"/>
                <w:lang w:val="el-GR"/>
              </w:rPr>
              <w:t xml:space="preserve"> θα εξετάσει τις τροπολογίες που προτάθηκαν και αναμένεται να ψηφίσει επ’ αυτών το Σεπτέμβριο 2023.</w:t>
            </w:r>
            <w:r w:rsidRPr="005D0F9D">
              <w:rPr>
                <w:rFonts w:cstheme="minorHAnsi"/>
                <w:color w:val="000000"/>
              </w:rPr>
              <w:t> </w:t>
            </w:r>
          </w:p>
          <w:p w14:paraId="5687538C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To</w:t>
            </w:r>
            <w:r w:rsidRPr="005D0F9D">
              <w:rPr>
                <w:rFonts w:asciiTheme="minorHAnsi" w:hAnsiTheme="minorHAnsi" w:cstheme="minorHAnsi"/>
                <w:color w:val="000000"/>
              </w:rPr>
              <w:t>ν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Μάιο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2023, η νομική υπηρεσία του Συμβουλίου σε έγγραφη έκθεση της διαπίστωσε σοβαρές παραβιάσεις του δικαιώματος στην ιδιωτικότητα και σε θεμελιώδη δικαιώματα από διατάξεις του Κανονισμού.</w:t>
            </w:r>
          </w:p>
          <w:p w14:paraId="209D0B49" w14:textId="77777777" w:rsidR="005D0F9D" w:rsidRPr="005D0F9D" w:rsidRDefault="005D0F9D" w:rsidP="005D0F9D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D0F9D">
              <w:rPr>
                <w:rFonts w:asciiTheme="minorHAnsi" w:hAnsiTheme="minorHAnsi" w:cstheme="minorHAnsi"/>
                <w:color w:val="000000"/>
              </w:rPr>
              <w:t>Οι απαντήσεις της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Ευρωπαικής Επιτροπής στις άνω επικρίσεις κρίθηκαν αντικειμενικά ως πλημμελείς και μη πειστικές.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49BF5D22" w14:textId="2058FD38" w:rsidR="005D0F9D" w:rsidRPr="005D0F9D" w:rsidRDefault="005D0F9D" w:rsidP="005D0F9D">
            <w:pPr>
              <w:pStyle w:val="Web"/>
              <w:spacing w:before="0" w:beforeAutospacing="0" w:after="0" w:afterAutospacing="0"/>
            </w:pPr>
            <w:r w:rsidRPr="005D0F9D">
              <w:rPr>
                <w:rFonts w:asciiTheme="minorHAnsi" w:hAnsiTheme="minorHAnsi" w:cstheme="minorHAnsi"/>
                <w:color w:val="000000"/>
              </w:rPr>
              <w:t>Δεδομέν</w:t>
            </w:r>
            <w:r>
              <w:rPr>
                <w:rFonts w:asciiTheme="minorHAnsi" w:hAnsiTheme="minorHAnsi" w:cstheme="minorHAnsi"/>
                <w:color w:val="000000"/>
              </w:rPr>
              <w:t>ης τ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ης διαπίστωσης των άνω προβληματικών διατάξεων, συμφωνήθηκε με συναίνεση και της ελληνικής αντιπροσωπείας, η διατύπωσης θέσης παρά του </w:t>
            </w:r>
            <w:r w:rsidRPr="005D0F9D">
              <w:rPr>
                <w:rFonts w:asciiTheme="minorHAnsi" w:hAnsiTheme="minorHAnsi" w:cstheme="minorHAnsi"/>
                <w:color w:val="000000"/>
                <w:lang w:val="en-GB"/>
              </w:rPr>
              <w:t>CCBE</w:t>
            </w:r>
            <w:r w:rsidRPr="005D0F9D">
              <w:rPr>
                <w:rFonts w:asciiTheme="minorHAnsi" w:hAnsiTheme="minorHAnsi" w:cstheme="minorHAnsi"/>
                <w:color w:val="000000"/>
              </w:rPr>
              <w:t xml:space="preserve"> περί απόσυρσης άλλως καταψήφισης του άνω Κανονισμού. </w:t>
            </w:r>
          </w:p>
        </w:tc>
      </w:tr>
    </w:tbl>
    <w:p w14:paraId="734783D0" w14:textId="50BCD61B" w:rsidR="001F6D5C" w:rsidRPr="00225434" w:rsidRDefault="00225434" w:rsidP="00495615">
      <w:pPr>
        <w:pStyle w:val="CCBEtitre01"/>
        <w:numPr>
          <w:ilvl w:val="0"/>
          <w:numId w:val="1"/>
        </w:numPr>
        <w:tabs>
          <w:tab w:val="left" w:pos="1560"/>
        </w:tabs>
        <w:rPr>
          <w:sz w:val="30"/>
          <w:szCs w:val="30"/>
          <w:lang w:val="el-GR"/>
        </w:rPr>
      </w:pPr>
      <w:r>
        <w:rPr>
          <w:rFonts w:asciiTheme="minorHAnsi" w:hAnsiTheme="minorHAnsi"/>
          <w:sz w:val="30"/>
          <w:szCs w:val="30"/>
          <w:lang w:val="el-GR"/>
        </w:rPr>
        <w:t>Επιστολή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 w:rsidR="00041F44">
        <w:rPr>
          <w:sz w:val="30"/>
          <w:szCs w:val="30"/>
        </w:rPr>
        <w:t>CCBE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σε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υποστήριξη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του</w:t>
      </w:r>
      <w:r w:rsidR="00041F44" w:rsidRPr="00225434">
        <w:rPr>
          <w:sz w:val="30"/>
          <w:szCs w:val="30"/>
          <w:lang w:val="el-GR"/>
        </w:rPr>
        <w:t xml:space="preserve"> </w:t>
      </w:r>
      <w:r w:rsidR="00041F44">
        <w:rPr>
          <w:sz w:val="30"/>
          <w:szCs w:val="30"/>
        </w:rPr>
        <w:t>Julian</w:t>
      </w:r>
      <w:r w:rsidR="00041F44" w:rsidRPr="00225434">
        <w:rPr>
          <w:sz w:val="30"/>
          <w:szCs w:val="30"/>
          <w:lang w:val="el-GR"/>
        </w:rPr>
        <w:t xml:space="preserve"> </w:t>
      </w:r>
      <w:r w:rsidR="00041F44">
        <w:rPr>
          <w:sz w:val="30"/>
          <w:szCs w:val="30"/>
        </w:rPr>
        <w:t>Assange</w:t>
      </w:r>
      <w:r w:rsidR="006869C6" w:rsidRPr="00225434">
        <w:rPr>
          <w:sz w:val="30"/>
          <w:szCs w:val="30"/>
          <w:lang w:val="el-GR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363" w:rsidRPr="005D0F9D" w14:paraId="7E45ABED" w14:textId="77777777" w:rsidTr="00A9719C">
        <w:tc>
          <w:tcPr>
            <w:tcW w:w="9180" w:type="dxa"/>
          </w:tcPr>
          <w:p w14:paraId="685ACBB4" w14:textId="5E6EA0F7" w:rsidR="00B90363" w:rsidRPr="008F1FE5" w:rsidRDefault="008F1FE5" w:rsidP="00B90363">
            <w:pPr>
              <w:rPr>
                <w:lang w:val="el-GR" w:bidi="he-IL"/>
              </w:rPr>
            </w:pPr>
            <w:r w:rsidRPr="008F1FE5">
              <w:rPr>
                <w:lang w:val="el-GR"/>
              </w:rPr>
              <w:t xml:space="preserve">Προτάθηκε να αποσταλεί εκ νέου επιστολή από τη </w:t>
            </w:r>
            <w:r w:rsidRPr="008F1FE5">
              <w:rPr>
                <w:lang w:val="en-US"/>
              </w:rPr>
              <w:t>CCBE</w:t>
            </w:r>
            <w:r w:rsidRPr="008F1FE5">
              <w:rPr>
                <w:lang w:val="el-GR"/>
              </w:rPr>
              <w:t xml:space="preserve"> </w:t>
            </w:r>
            <w:r w:rsidRPr="008F1FE5">
              <w:rPr>
                <w:lang w:val="el-GR" w:bidi="he-IL"/>
              </w:rPr>
              <w:t xml:space="preserve">στο Βρετανικό Υπουργείο Εσωτερικών σε υποστήριξη του </w:t>
            </w:r>
            <w:r w:rsidRPr="008F1FE5">
              <w:t>Julian</w:t>
            </w:r>
            <w:r w:rsidRPr="008F1FE5">
              <w:rPr>
                <w:lang w:val="el-GR"/>
              </w:rPr>
              <w:t xml:space="preserve"> </w:t>
            </w:r>
            <w:r w:rsidRPr="008F1FE5">
              <w:t>Assange</w:t>
            </w:r>
          </w:p>
        </w:tc>
      </w:tr>
    </w:tbl>
    <w:p w14:paraId="30D32361" w14:textId="24C7A2BD" w:rsidR="003729FE" w:rsidRPr="00225434" w:rsidRDefault="00225434" w:rsidP="003729FE">
      <w:pPr>
        <w:pStyle w:val="CCBEtitre01"/>
        <w:numPr>
          <w:ilvl w:val="0"/>
          <w:numId w:val="1"/>
        </w:numPr>
        <w:tabs>
          <w:tab w:val="left" w:pos="1560"/>
        </w:tabs>
        <w:rPr>
          <w:sz w:val="30"/>
          <w:szCs w:val="30"/>
          <w:lang w:val="el-GR"/>
        </w:rPr>
      </w:pPr>
      <w:r>
        <w:rPr>
          <w:rFonts w:asciiTheme="minorHAnsi" w:hAnsiTheme="minorHAnsi"/>
          <w:sz w:val="30"/>
          <w:szCs w:val="30"/>
          <w:lang w:val="el-GR"/>
        </w:rPr>
        <w:t>Κείμενο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του</w:t>
      </w:r>
      <w:r w:rsidRPr="00225434">
        <w:rPr>
          <w:rFonts w:asciiTheme="minorHAnsi" w:hAnsiTheme="minorHAnsi"/>
          <w:sz w:val="30"/>
          <w:szCs w:val="30"/>
          <w:lang w:val="el-GR"/>
        </w:rPr>
        <w:t xml:space="preserve"> </w:t>
      </w:r>
      <w:r w:rsidR="00041F44">
        <w:rPr>
          <w:sz w:val="30"/>
          <w:szCs w:val="30"/>
        </w:rPr>
        <w:t>CCBE</w:t>
      </w:r>
      <w:r w:rsidR="00041F44" w:rsidRPr="00225434">
        <w:rPr>
          <w:sz w:val="30"/>
          <w:szCs w:val="30"/>
          <w:lang w:val="el-GR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για τη βιομετρική αναγνώριση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F44" w:rsidRPr="005D0F9D" w14:paraId="1703F331" w14:textId="77777777" w:rsidTr="00041F44">
        <w:tc>
          <w:tcPr>
            <w:tcW w:w="9212" w:type="dxa"/>
          </w:tcPr>
          <w:p w14:paraId="69345092" w14:textId="5C763F9D" w:rsidR="00041F44" w:rsidRPr="008F1FE5" w:rsidRDefault="008F1FE5" w:rsidP="00041F44">
            <w:pPr>
              <w:rPr>
                <w:lang w:val="el-GR"/>
              </w:rPr>
            </w:pPr>
            <w:r w:rsidRPr="008F1FE5">
              <w:rPr>
                <w:lang w:val="el-GR"/>
              </w:rPr>
              <w:t>Έγινε συζήτηση επί των προτάσεων της Γραμματείας σχετικά με το κείμενο για τη βιομετρική αναγνώριση.</w:t>
            </w:r>
          </w:p>
        </w:tc>
      </w:tr>
    </w:tbl>
    <w:p w14:paraId="3A9B4990" w14:textId="05C26BBA" w:rsidR="00041F44" w:rsidRPr="00225434" w:rsidRDefault="00225434" w:rsidP="00041F44">
      <w:pPr>
        <w:pStyle w:val="CCBEtitre01"/>
        <w:numPr>
          <w:ilvl w:val="0"/>
          <w:numId w:val="1"/>
        </w:numPr>
        <w:tabs>
          <w:tab w:val="left" w:pos="1560"/>
        </w:tabs>
        <w:rPr>
          <w:sz w:val="30"/>
          <w:szCs w:val="30"/>
        </w:rPr>
      </w:pPr>
      <w:r w:rsidRPr="00225434">
        <w:rPr>
          <w:rFonts w:asciiTheme="minorHAnsi" w:hAnsiTheme="minorHAnsi"/>
          <w:sz w:val="30"/>
          <w:szCs w:val="30"/>
          <w:lang w:val="el-GR"/>
        </w:rPr>
        <w:t>Διαχείριση ταυτοτήτων Δικηγόρων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F44" w14:paraId="192B7AA3" w14:textId="77777777" w:rsidTr="007572E3">
        <w:tc>
          <w:tcPr>
            <w:tcW w:w="9212" w:type="dxa"/>
          </w:tcPr>
          <w:p w14:paraId="72BEB4D0" w14:textId="522453AE" w:rsidR="00041F44" w:rsidRPr="008F1FE5" w:rsidRDefault="00225434" w:rsidP="007572E3">
            <w:pPr>
              <w:rPr>
                <w:lang w:val="el-GR"/>
              </w:rPr>
            </w:pPr>
            <w:r w:rsidRPr="008F1FE5">
              <w:rPr>
                <w:lang w:val="el-GR"/>
              </w:rPr>
              <w:t xml:space="preserve">Ο Βελγικός Δικηγορικός Σύλλογος προτείνει τη διερεύνηση </w:t>
            </w:r>
            <w:r w:rsidR="008F1FE5" w:rsidRPr="008F1FE5">
              <w:rPr>
                <w:lang w:val="el-GR"/>
              </w:rPr>
              <w:t>ανάπτυξης ηλεκτρονικής υπογραφής για όλους τους Ευρωπαίους Δικηγόρους. Έγινε συζήτηση για το εφικτό και τα προβλήματα, τεχνικά και οικονομικά, σχετικών λύσεων. Το ζήτημα θα συζητηθεί και προσεχώς.</w:t>
            </w:r>
          </w:p>
        </w:tc>
      </w:tr>
    </w:tbl>
    <w:p w14:paraId="28262C65" w14:textId="256BBDD3" w:rsidR="00041F44" w:rsidRPr="003729FE" w:rsidRDefault="00225434" w:rsidP="00041F44">
      <w:pPr>
        <w:pStyle w:val="CCBEtitre01"/>
        <w:numPr>
          <w:ilvl w:val="0"/>
          <w:numId w:val="1"/>
        </w:numPr>
        <w:tabs>
          <w:tab w:val="left" w:pos="1560"/>
        </w:tabs>
        <w:rPr>
          <w:sz w:val="30"/>
          <w:szCs w:val="30"/>
        </w:rPr>
      </w:pPr>
      <w:r>
        <w:rPr>
          <w:rFonts w:asciiTheme="minorHAnsi" w:hAnsiTheme="minorHAnsi"/>
          <w:sz w:val="30"/>
          <w:szCs w:val="30"/>
          <w:lang w:val="el-GR"/>
        </w:rPr>
        <w:t>Αναζήτηση</w:t>
      </w:r>
      <w:r w:rsidRPr="00225434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ιδεών</w:t>
      </w:r>
      <w:r w:rsidRPr="00225434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για</w:t>
      </w:r>
      <w:r w:rsidRPr="00225434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προσεχείς</w:t>
      </w:r>
      <w:r w:rsidRPr="00225434">
        <w:rPr>
          <w:rFonts w:asciiTheme="minorHAnsi" w:hAnsiTheme="minorHAnsi"/>
          <w:sz w:val="30"/>
          <w:szCs w:val="30"/>
          <w:lang w:val="en-US"/>
        </w:rPr>
        <w:t xml:space="preserve"> </w:t>
      </w:r>
      <w:r>
        <w:rPr>
          <w:rFonts w:asciiTheme="minorHAnsi" w:hAnsiTheme="minorHAnsi"/>
          <w:sz w:val="30"/>
          <w:szCs w:val="30"/>
          <w:lang w:val="el-GR"/>
        </w:rPr>
        <w:t>δραστηριότητες</w:t>
      </w:r>
      <w:r w:rsidRPr="00225434">
        <w:rPr>
          <w:rFonts w:asciiTheme="minorHAnsi" w:hAnsiTheme="minorHAnsi"/>
          <w:sz w:val="30"/>
          <w:szCs w:val="30"/>
          <w:lang w:val="en-US"/>
        </w:rPr>
        <w:t xml:space="preserve"> </w:t>
      </w:r>
    </w:p>
    <w:p w14:paraId="789C884F" w14:textId="22D3D4B5" w:rsidR="00041F44" w:rsidRPr="008F1FE5" w:rsidRDefault="008F1FE5" w:rsidP="008F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1FE5">
        <w:rPr>
          <w:lang w:val="el-GR"/>
        </w:rPr>
        <w:t>Έγινε σχετική γενική συζήτηση</w:t>
      </w:r>
      <w:r w:rsidR="00F246AD" w:rsidRPr="008F1FE5">
        <w:t>.</w:t>
      </w:r>
    </w:p>
    <w:sectPr w:rsidR="00041F44" w:rsidRPr="008F1FE5" w:rsidSect="003C58BA">
      <w:headerReference w:type="default" r:id="rId8"/>
      <w:footerReference w:type="default" r:id="rId9"/>
      <w:pgSz w:w="11906" w:h="16838"/>
      <w:pgMar w:top="2268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8C43" w14:textId="77777777" w:rsidR="009F312F" w:rsidRDefault="009F312F" w:rsidP="007B2D00">
      <w:pPr>
        <w:spacing w:after="0" w:line="240" w:lineRule="auto"/>
      </w:pPr>
      <w:r>
        <w:separator/>
      </w:r>
    </w:p>
  </w:endnote>
  <w:endnote w:type="continuationSeparator" w:id="0">
    <w:p w14:paraId="4C7615D3" w14:textId="77777777" w:rsidR="009F312F" w:rsidRDefault="009F312F" w:rsidP="007B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 2014 Extra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i/>
        <w:iCs/>
        <w:sz w:val="18"/>
        <w:szCs w:val="18"/>
      </w:rPr>
      <w:id w:val="183017849"/>
      <w:docPartObj>
        <w:docPartGallery w:val="Page Numbers (Bottom of Page)"/>
        <w:docPartUnique/>
      </w:docPartObj>
    </w:sdtPr>
    <w:sdtEndPr/>
    <w:sdtContent>
      <w:p w14:paraId="46A4F817" w14:textId="29468047" w:rsidR="003C58BA" w:rsidRPr="00A20E1F" w:rsidRDefault="00A20E1F" w:rsidP="00A20E1F">
        <w:pPr>
          <w:pStyle w:val="a8"/>
          <w:jc w:val="right"/>
          <w:rPr>
            <w:b/>
            <w:bCs/>
            <w:i/>
            <w:iCs/>
            <w:sz w:val="18"/>
            <w:szCs w:val="18"/>
          </w:rPr>
        </w:pPr>
        <w:r w:rsidRPr="00A20E1F">
          <w:rPr>
            <w:b/>
            <w:bCs/>
            <w:i/>
            <w:iCs/>
            <w:sz w:val="18"/>
            <w:szCs w:val="18"/>
          </w:rPr>
          <w:t xml:space="preserve"> </w:t>
        </w:r>
        <w:r w:rsidR="00225434">
          <w:rPr>
            <w:b/>
            <w:bCs/>
            <w:i/>
            <w:iCs/>
            <w:sz w:val="18"/>
            <w:szCs w:val="18"/>
            <w:lang w:val="el-GR"/>
          </w:rPr>
          <w:t>Σελίδα</w:t>
        </w:r>
        <w:r w:rsidRPr="00A20E1F">
          <w:rPr>
            <w:b/>
            <w:bCs/>
            <w:i/>
            <w:iCs/>
            <w:sz w:val="18"/>
            <w:szCs w:val="18"/>
          </w:rPr>
          <w:t xml:space="preserve"> </w:t>
        </w:r>
        <w:r w:rsidR="003C58BA" w:rsidRPr="00A20E1F">
          <w:rPr>
            <w:b/>
            <w:bCs/>
            <w:i/>
            <w:iCs/>
            <w:sz w:val="18"/>
            <w:szCs w:val="18"/>
          </w:rPr>
          <w:fldChar w:fldCharType="begin"/>
        </w:r>
        <w:r w:rsidR="003C58BA" w:rsidRPr="00A20E1F">
          <w:rPr>
            <w:b/>
            <w:bCs/>
            <w:i/>
            <w:iCs/>
            <w:sz w:val="18"/>
            <w:szCs w:val="18"/>
          </w:rPr>
          <w:instrText>PAGE   \* MERGEFORMAT</w:instrText>
        </w:r>
        <w:r w:rsidR="003C58BA" w:rsidRPr="00A20E1F">
          <w:rPr>
            <w:b/>
            <w:bCs/>
            <w:i/>
            <w:iCs/>
            <w:sz w:val="18"/>
            <w:szCs w:val="18"/>
          </w:rPr>
          <w:fldChar w:fldCharType="separate"/>
        </w:r>
        <w:r w:rsidR="0020272C">
          <w:rPr>
            <w:b/>
            <w:bCs/>
            <w:i/>
            <w:iCs/>
            <w:noProof/>
            <w:sz w:val="18"/>
            <w:szCs w:val="18"/>
          </w:rPr>
          <w:t>1</w:t>
        </w:r>
        <w:r w:rsidR="003C58BA" w:rsidRPr="00A20E1F">
          <w:rPr>
            <w:b/>
            <w:bCs/>
            <w:i/>
            <w:i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435F" w14:textId="77777777" w:rsidR="009F312F" w:rsidRDefault="009F312F" w:rsidP="007B2D00">
      <w:pPr>
        <w:spacing w:after="0" w:line="240" w:lineRule="auto"/>
      </w:pPr>
      <w:r>
        <w:separator/>
      </w:r>
    </w:p>
  </w:footnote>
  <w:footnote w:type="continuationSeparator" w:id="0">
    <w:p w14:paraId="24FAD188" w14:textId="77777777" w:rsidR="009F312F" w:rsidRDefault="009F312F" w:rsidP="007B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2D8B" w14:textId="537C71B0" w:rsidR="003C58BA" w:rsidRDefault="003C58BA" w:rsidP="003C58BA">
    <w:pPr>
      <w:pStyle w:val="a7"/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73E"/>
    <w:multiLevelType w:val="hybridMultilevel"/>
    <w:tmpl w:val="30824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226"/>
    <w:multiLevelType w:val="hybridMultilevel"/>
    <w:tmpl w:val="2A3811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640"/>
    <w:multiLevelType w:val="hybridMultilevel"/>
    <w:tmpl w:val="1938FBE6"/>
    <w:lvl w:ilvl="0" w:tplc="13AAB1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77DB"/>
    <w:multiLevelType w:val="hybridMultilevel"/>
    <w:tmpl w:val="CEB6A9C0"/>
    <w:lvl w:ilvl="0" w:tplc="B1A0CE7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E64"/>
    <w:multiLevelType w:val="hybridMultilevel"/>
    <w:tmpl w:val="ED08F34C"/>
    <w:lvl w:ilvl="0" w:tplc="50D09C82">
      <w:start w:val="1"/>
      <w:numFmt w:val="decimal"/>
      <w:pStyle w:val="CCBEtitre0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605"/>
    <w:multiLevelType w:val="hybridMultilevel"/>
    <w:tmpl w:val="E850D904"/>
    <w:lvl w:ilvl="0" w:tplc="B1A0CE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6DCF"/>
    <w:multiLevelType w:val="hybridMultilevel"/>
    <w:tmpl w:val="CE2E7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D7C38"/>
    <w:multiLevelType w:val="hybridMultilevel"/>
    <w:tmpl w:val="79287CA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C03"/>
    <w:multiLevelType w:val="hybridMultilevel"/>
    <w:tmpl w:val="80D4ACB4"/>
    <w:lvl w:ilvl="0" w:tplc="B1A0CE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0979"/>
    <w:multiLevelType w:val="hybridMultilevel"/>
    <w:tmpl w:val="3654C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C4691"/>
    <w:multiLevelType w:val="hybridMultilevel"/>
    <w:tmpl w:val="B1D25C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B39A6"/>
    <w:multiLevelType w:val="hybridMultilevel"/>
    <w:tmpl w:val="A330D3CE"/>
    <w:lvl w:ilvl="0" w:tplc="B1A0CE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657EA"/>
    <w:multiLevelType w:val="hybridMultilevel"/>
    <w:tmpl w:val="E0AE16A4"/>
    <w:lvl w:ilvl="0" w:tplc="DC9AABD0">
      <w:start w:val="4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8E"/>
    <w:rsid w:val="00012935"/>
    <w:rsid w:val="00013C6A"/>
    <w:rsid w:val="00024B72"/>
    <w:rsid w:val="00035254"/>
    <w:rsid w:val="000373F7"/>
    <w:rsid w:val="00041F44"/>
    <w:rsid w:val="00042C96"/>
    <w:rsid w:val="00045559"/>
    <w:rsid w:val="00056420"/>
    <w:rsid w:val="00067DE0"/>
    <w:rsid w:val="0007645F"/>
    <w:rsid w:val="00092045"/>
    <w:rsid w:val="000A2991"/>
    <w:rsid w:val="000B0AB5"/>
    <w:rsid w:val="000C4DE1"/>
    <w:rsid w:val="00104691"/>
    <w:rsid w:val="00120271"/>
    <w:rsid w:val="00133C1F"/>
    <w:rsid w:val="0013748E"/>
    <w:rsid w:val="00151C6F"/>
    <w:rsid w:val="00153BD9"/>
    <w:rsid w:val="00154AD7"/>
    <w:rsid w:val="00184DD0"/>
    <w:rsid w:val="001B068D"/>
    <w:rsid w:val="001B7353"/>
    <w:rsid w:val="001C7125"/>
    <w:rsid w:val="001F1A13"/>
    <w:rsid w:val="001F6D5C"/>
    <w:rsid w:val="00201249"/>
    <w:rsid w:val="0020272C"/>
    <w:rsid w:val="00216E0D"/>
    <w:rsid w:val="00225434"/>
    <w:rsid w:val="00231F6A"/>
    <w:rsid w:val="00233E42"/>
    <w:rsid w:val="00237807"/>
    <w:rsid w:val="002523AF"/>
    <w:rsid w:val="002662AA"/>
    <w:rsid w:val="00271E29"/>
    <w:rsid w:val="002766DB"/>
    <w:rsid w:val="00283CFE"/>
    <w:rsid w:val="00291BFA"/>
    <w:rsid w:val="00296D83"/>
    <w:rsid w:val="002B592F"/>
    <w:rsid w:val="002B74EB"/>
    <w:rsid w:val="002E310B"/>
    <w:rsid w:val="002E31DB"/>
    <w:rsid w:val="002F2B5B"/>
    <w:rsid w:val="00304F33"/>
    <w:rsid w:val="00305620"/>
    <w:rsid w:val="00315D6D"/>
    <w:rsid w:val="00323D4E"/>
    <w:rsid w:val="0034132F"/>
    <w:rsid w:val="00350339"/>
    <w:rsid w:val="00360328"/>
    <w:rsid w:val="003647DC"/>
    <w:rsid w:val="003729FE"/>
    <w:rsid w:val="0037457D"/>
    <w:rsid w:val="003C2D80"/>
    <w:rsid w:val="003C58BA"/>
    <w:rsid w:val="003E4C38"/>
    <w:rsid w:val="00416F39"/>
    <w:rsid w:val="00464349"/>
    <w:rsid w:val="00466D8E"/>
    <w:rsid w:val="0048385C"/>
    <w:rsid w:val="00495615"/>
    <w:rsid w:val="004C235D"/>
    <w:rsid w:val="004D378A"/>
    <w:rsid w:val="004F59BB"/>
    <w:rsid w:val="00524D73"/>
    <w:rsid w:val="00542A71"/>
    <w:rsid w:val="00545B16"/>
    <w:rsid w:val="00557F5D"/>
    <w:rsid w:val="00560D72"/>
    <w:rsid w:val="0056629A"/>
    <w:rsid w:val="00567EDD"/>
    <w:rsid w:val="00571245"/>
    <w:rsid w:val="00587F6A"/>
    <w:rsid w:val="00593420"/>
    <w:rsid w:val="00596705"/>
    <w:rsid w:val="005A0346"/>
    <w:rsid w:val="005A78CA"/>
    <w:rsid w:val="005C0D49"/>
    <w:rsid w:val="005C3844"/>
    <w:rsid w:val="005D0F9D"/>
    <w:rsid w:val="005D6853"/>
    <w:rsid w:val="0061067A"/>
    <w:rsid w:val="00613142"/>
    <w:rsid w:val="0061690F"/>
    <w:rsid w:val="00623677"/>
    <w:rsid w:val="0062747B"/>
    <w:rsid w:val="006404A8"/>
    <w:rsid w:val="006431E3"/>
    <w:rsid w:val="00661BEA"/>
    <w:rsid w:val="00672642"/>
    <w:rsid w:val="0068253D"/>
    <w:rsid w:val="006864BA"/>
    <w:rsid w:val="006869C6"/>
    <w:rsid w:val="00690379"/>
    <w:rsid w:val="006922FC"/>
    <w:rsid w:val="006945B3"/>
    <w:rsid w:val="006A0F4D"/>
    <w:rsid w:val="006A6DDB"/>
    <w:rsid w:val="006D589B"/>
    <w:rsid w:val="006E578A"/>
    <w:rsid w:val="007006A5"/>
    <w:rsid w:val="007052CF"/>
    <w:rsid w:val="00710568"/>
    <w:rsid w:val="007109E0"/>
    <w:rsid w:val="00746C4B"/>
    <w:rsid w:val="00751383"/>
    <w:rsid w:val="007624C5"/>
    <w:rsid w:val="00763F50"/>
    <w:rsid w:val="00765957"/>
    <w:rsid w:val="00766D60"/>
    <w:rsid w:val="00772155"/>
    <w:rsid w:val="00772794"/>
    <w:rsid w:val="007856BF"/>
    <w:rsid w:val="007B2D00"/>
    <w:rsid w:val="007B7DA7"/>
    <w:rsid w:val="007E0958"/>
    <w:rsid w:val="007E7BD9"/>
    <w:rsid w:val="007F7528"/>
    <w:rsid w:val="00807AE3"/>
    <w:rsid w:val="00810091"/>
    <w:rsid w:val="008247FE"/>
    <w:rsid w:val="008320F0"/>
    <w:rsid w:val="008416BA"/>
    <w:rsid w:val="008547B7"/>
    <w:rsid w:val="008559CE"/>
    <w:rsid w:val="00862509"/>
    <w:rsid w:val="00875A86"/>
    <w:rsid w:val="0088799C"/>
    <w:rsid w:val="00897B09"/>
    <w:rsid w:val="008A520D"/>
    <w:rsid w:val="008A7215"/>
    <w:rsid w:val="008B69FE"/>
    <w:rsid w:val="008C47A7"/>
    <w:rsid w:val="008D4F0F"/>
    <w:rsid w:val="008D7AF1"/>
    <w:rsid w:val="008F1FE5"/>
    <w:rsid w:val="0091535D"/>
    <w:rsid w:val="00964E0C"/>
    <w:rsid w:val="009840E4"/>
    <w:rsid w:val="009A2C72"/>
    <w:rsid w:val="009C7A9B"/>
    <w:rsid w:val="009F312F"/>
    <w:rsid w:val="00A04CE2"/>
    <w:rsid w:val="00A20E1F"/>
    <w:rsid w:val="00A55296"/>
    <w:rsid w:val="00A74E22"/>
    <w:rsid w:val="00A758E2"/>
    <w:rsid w:val="00A97C96"/>
    <w:rsid w:val="00AB0E83"/>
    <w:rsid w:val="00AB53A5"/>
    <w:rsid w:val="00AB6CB8"/>
    <w:rsid w:val="00AC5BA9"/>
    <w:rsid w:val="00AD22BD"/>
    <w:rsid w:val="00AD350B"/>
    <w:rsid w:val="00AD4129"/>
    <w:rsid w:val="00AD4AEB"/>
    <w:rsid w:val="00AD5E51"/>
    <w:rsid w:val="00AE0BAD"/>
    <w:rsid w:val="00AF0671"/>
    <w:rsid w:val="00AF15D6"/>
    <w:rsid w:val="00B00C71"/>
    <w:rsid w:val="00B1749D"/>
    <w:rsid w:val="00B22718"/>
    <w:rsid w:val="00B228F7"/>
    <w:rsid w:val="00B509A7"/>
    <w:rsid w:val="00B54E5B"/>
    <w:rsid w:val="00B7604C"/>
    <w:rsid w:val="00B8322A"/>
    <w:rsid w:val="00B8597D"/>
    <w:rsid w:val="00B90363"/>
    <w:rsid w:val="00BA438A"/>
    <w:rsid w:val="00BB02F2"/>
    <w:rsid w:val="00BC1807"/>
    <w:rsid w:val="00C012E6"/>
    <w:rsid w:val="00C059F9"/>
    <w:rsid w:val="00C061DA"/>
    <w:rsid w:val="00C07C1A"/>
    <w:rsid w:val="00C2132E"/>
    <w:rsid w:val="00C5156B"/>
    <w:rsid w:val="00C5742D"/>
    <w:rsid w:val="00C804EB"/>
    <w:rsid w:val="00C821E8"/>
    <w:rsid w:val="00C9359B"/>
    <w:rsid w:val="00D203F4"/>
    <w:rsid w:val="00D33849"/>
    <w:rsid w:val="00D71820"/>
    <w:rsid w:val="00D75948"/>
    <w:rsid w:val="00D76D10"/>
    <w:rsid w:val="00D94DDF"/>
    <w:rsid w:val="00D94FC8"/>
    <w:rsid w:val="00DA3C0D"/>
    <w:rsid w:val="00DA5918"/>
    <w:rsid w:val="00DB6B21"/>
    <w:rsid w:val="00DC6AFE"/>
    <w:rsid w:val="00DD0565"/>
    <w:rsid w:val="00DD2298"/>
    <w:rsid w:val="00DE1ED7"/>
    <w:rsid w:val="00DE2508"/>
    <w:rsid w:val="00E018B8"/>
    <w:rsid w:val="00E01CEB"/>
    <w:rsid w:val="00E129FC"/>
    <w:rsid w:val="00E14C00"/>
    <w:rsid w:val="00E31DA0"/>
    <w:rsid w:val="00E62F92"/>
    <w:rsid w:val="00E63EA8"/>
    <w:rsid w:val="00E82C60"/>
    <w:rsid w:val="00EA0B21"/>
    <w:rsid w:val="00EA7952"/>
    <w:rsid w:val="00EB6976"/>
    <w:rsid w:val="00ED0EE0"/>
    <w:rsid w:val="00ED6257"/>
    <w:rsid w:val="00EE4978"/>
    <w:rsid w:val="00EF1F04"/>
    <w:rsid w:val="00F002A3"/>
    <w:rsid w:val="00F02296"/>
    <w:rsid w:val="00F246AD"/>
    <w:rsid w:val="00F308EE"/>
    <w:rsid w:val="00F3213A"/>
    <w:rsid w:val="00F42357"/>
    <w:rsid w:val="00F445D2"/>
    <w:rsid w:val="00F464DD"/>
    <w:rsid w:val="00F5203A"/>
    <w:rsid w:val="00F535D2"/>
    <w:rsid w:val="00F54C77"/>
    <w:rsid w:val="00F87E62"/>
    <w:rsid w:val="00F903A6"/>
    <w:rsid w:val="00FA3CED"/>
    <w:rsid w:val="00FB2FB3"/>
    <w:rsid w:val="00FD331C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3B91"/>
  <w15:docId w15:val="{2FB98E9E-3F42-453A-8263-B66751A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8E"/>
    <w:pPr>
      <w:ind w:left="720"/>
      <w:contextualSpacing/>
    </w:pPr>
  </w:style>
  <w:style w:type="table" w:styleId="a4">
    <w:name w:val="Table Grid"/>
    <w:basedOn w:val="a1"/>
    <w:uiPriority w:val="39"/>
    <w:rsid w:val="0013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7B2D0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7B2D00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7B2D00"/>
    <w:rPr>
      <w:vertAlign w:val="superscript"/>
    </w:rPr>
  </w:style>
  <w:style w:type="character" w:styleId="-">
    <w:name w:val="Hyperlink"/>
    <w:basedOn w:val="a0"/>
    <w:uiPriority w:val="99"/>
    <w:unhideWhenUsed/>
    <w:rsid w:val="007B2D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D00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3C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C58BA"/>
    <w:rPr>
      <w:lang w:val="en-GB"/>
    </w:rPr>
  </w:style>
  <w:style w:type="paragraph" w:styleId="a8">
    <w:name w:val="footer"/>
    <w:basedOn w:val="a"/>
    <w:link w:val="Char1"/>
    <w:uiPriority w:val="99"/>
    <w:unhideWhenUsed/>
    <w:rsid w:val="003C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C58BA"/>
    <w:rPr>
      <w:lang w:val="en-GB"/>
    </w:rPr>
  </w:style>
  <w:style w:type="paragraph" w:customStyle="1" w:styleId="CCBETitre">
    <w:name w:val="CCBE_Titre"/>
    <w:basedOn w:val="a"/>
    <w:qFormat/>
    <w:rsid w:val="003C58BA"/>
    <w:pPr>
      <w:spacing w:before="60" w:after="60" w:line="240" w:lineRule="auto"/>
      <w:jc w:val="right"/>
    </w:pPr>
    <w:rPr>
      <w:rFonts w:ascii="Arial" w:eastAsia="Calibri" w:hAnsi="Arial" w:cs="Times New Roman"/>
      <w:color w:val="002060"/>
      <w:kern w:val="0"/>
      <w:sz w:val="40"/>
      <w:szCs w:val="40"/>
    </w:rPr>
  </w:style>
  <w:style w:type="paragraph" w:customStyle="1" w:styleId="CCBEdate">
    <w:name w:val="CCBE_date"/>
    <w:basedOn w:val="a"/>
    <w:qFormat/>
    <w:rsid w:val="003C58BA"/>
    <w:pPr>
      <w:spacing w:before="60" w:after="60" w:line="240" w:lineRule="auto"/>
      <w:jc w:val="right"/>
    </w:pPr>
    <w:rPr>
      <w:rFonts w:ascii="DIN 2014" w:eastAsia="Calibri" w:hAnsi="DIN 2014" w:cs="Times New Roman"/>
      <w:color w:val="002060"/>
      <w:kern w:val="0"/>
      <w:sz w:val="24"/>
      <w:szCs w:val="24"/>
    </w:rPr>
  </w:style>
  <w:style w:type="paragraph" w:customStyle="1" w:styleId="CCBEtitre01">
    <w:name w:val="CCBE_titre_01"/>
    <w:basedOn w:val="a3"/>
    <w:qFormat/>
    <w:rsid w:val="003C58BA"/>
    <w:pPr>
      <w:numPr>
        <w:numId w:val="7"/>
      </w:numPr>
      <w:pBdr>
        <w:bottom w:val="single" w:sz="8" w:space="1" w:color="002060"/>
      </w:pBdr>
      <w:spacing w:before="360" w:after="360" w:line="240" w:lineRule="auto"/>
      <w:jc w:val="both"/>
    </w:pPr>
    <w:rPr>
      <w:rFonts w:ascii="DIN 2014 Extra Light" w:eastAsia="Calibri" w:hAnsi="DIN 2014 Extra Light" w:cstheme="minorHAnsi"/>
      <w:b/>
      <w:bCs/>
      <w:color w:val="002060"/>
      <w:kern w:val="0"/>
      <w:sz w:val="36"/>
      <w:szCs w:val="32"/>
    </w:rPr>
  </w:style>
  <w:style w:type="character" w:styleId="-0">
    <w:name w:val="FollowedHyperlink"/>
    <w:basedOn w:val="a0"/>
    <w:uiPriority w:val="99"/>
    <w:semiHidden/>
    <w:unhideWhenUsed/>
    <w:rsid w:val="00B509A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5D0F9D"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A839-0384-44E8-97F7-71BCE38E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Sacleux</dc:creator>
  <cp:keywords/>
  <dc:description/>
  <cp:lastModifiedBy>User</cp:lastModifiedBy>
  <cp:revision>2</cp:revision>
  <cp:lastPrinted>2023-06-15T10:02:00Z</cp:lastPrinted>
  <dcterms:created xsi:type="dcterms:W3CDTF">2023-07-21T09:24:00Z</dcterms:created>
  <dcterms:modified xsi:type="dcterms:W3CDTF">2023-07-21T09:24:00Z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2023-07-07T08:23:42Z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d41fc886-602b-42e6-a32a-bdc2db6a3026</vt:lpwstr>
  </property>
  <property fmtid="{D5CDD505-2E9C-101B-9397-08002B2CF9AE}" pid="8" name="MSIP_Label_fa6f01b5-c24b-4fa8-8e8f-cee31f47fe31_ContentBits">
    <vt:lpwstr>0</vt:lpwstr>
  </property>
</Properties>
</file>