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99" w:rsidRDefault="00420F99" w:rsidP="00420F99">
      <w:pPr>
        <w:spacing w:line="360" w:lineRule="auto"/>
        <w:contextualSpacing/>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420F99" w:rsidRDefault="00420F99" w:rsidP="00420F99">
      <w:pPr>
        <w:spacing w:line="360" w:lineRule="auto"/>
        <w:contextualSpacing/>
        <w:rPr>
          <w:rFonts w:ascii="Arial" w:hAnsi="Arial" w:cs="Arial"/>
          <w:sz w:val="24"/>
          <w:szCs w:val="24"/>
        </w:rPr>
      </w:pPr>
      <w:r>
        <w:rPr>
          <w:rFonts w:ascii="Arial" w:hAnsi="Arial" w:cs="Arial"/>
          <w:sz w:val="24"/>
          <w:szCs w:val="24"/>
        </w:rPr>
        <w:t>ΕΛΛΗΝΙΚΗ ΔΗΜΟΚΡΑΤΙΑ</w:t>
      </w:r>
    </w:p>
    <w:p w:rsidR="00420F99" w:rsidRDefault="00420F99" w:rsidP="00420F99">
      <w:pPr>
        <w:spacing w:line="360" w:lineRule="auto"/>
        <w:contextualSpacing/>
        <w:rPr>
          <w:rFonts w:ascii="Arial" w:hAnsi="Arial" w:cs="Arial"/>
          <w:sz w:val="24"/>
          <w:szCs w:val="24"/>
        </w:rPr>
      </w:pPr>
      <w:r>
        <w:rPr>
          <w:rFonts w:ascii="Arial" w:hAnsi="Arial" w:cs="Arial"/>
          <w:sz w:val="24"/>
          <w:szCs w:val="24"/>
        </w:rPr>
        <w:t xml:space="preserve">ΕΙΡΗΝΟΔΙΚΕΙΟ ΝΕΑΣ ΙΩΝΙΑΣ                          Αρ. Πρωτ.  </w:t>
      </w:r>
      <w:r w:rsidR="001E4B79">
        <w:rPr>
          <w:rFonts w:ascii="Arial" w:hAnsi="Arial" w:cs="Arial"/>
          <w:sz w:val="24"/>
          <w:szCs w:val="24"/>
        </w:rPr>
        <w:t>137</w:t>
      </w:r>
      <w:r>
        <w:rPr>
          <w:rFonts w:ascii="Arial" w:hAnsi="Arial" w:cs="Arial"/>
          <w:sz w:val="24"/>
          <w:szCs w:val="24"/>
        </w:rPr>
        <w:t>/</w:t>
      </w:r>
      <w:r w:rsidR="001E4B79">
        <w:rPr>
          <w:rFonts w:ascii="Arial" w:hAnsi="Arial" w:cs="Arial"/>
          <w:sz w:val="24"/>
          <w:szCs w:val="24"/>
        </w:rPr>
        <w:t>1</w:t>
      </w:r>
      <w:r w:rsidR="001273E0">
        <w:rPr>
          <w:rFonts w:ascii="Arial" w:hAnsi="Arial" w:cs="Arial"/>
          <w:sz w:val="24"/>
          <w:szCs w:val="24"/>
        </w:rPr>
        <w:t>1</w:t>
      </w:r>
      <w:r>
        <w:rPr>
          <w:rFonts w:ascii="Arial" w:hAnsi="Arial" w:cs="Arial"/>
          <w:sz w:val="24"/>
          <w:szCs w:val="24"/>
        </w:rPr>
        <w:t>-06-2021</w:t>
      </w:r>
    </w:p>
    <w:p w:rsidR="00420F99" w:rsidRDefault="00420F99" w:rsidP="00420F99">
      <w:pPr>
        <w:spacing w:line="360" w:lineRule="auto"/>
        <w:contextualSpacing/>
        <w:rPr>
          <w:rFonts w:ascii="Arial" w:hAnsi="Arial" w:cs="Arial"/>
          <w:color w:val="222222"/>
          <w:shd w:val="clear" w:color="auto" w:fill="FFFFFF"/>
        </w:rPr>
      </w:pPr>
      <w:r>
        <w:rPr>
          <w:rFonts w:ascii="Arial" w:hAnsi="Arial" w:cs="Arial"/>
          <w:color w:val="222222"/>
          <w:shd w:val="clear" w:color="auto" w:fill="FFFFFF"/>
        </w:rPr>
        <w:t xml:space="preserve">Ταχ. Δ/νση: Λεωφ. Ηρακλείου 269 </w:t>
      </w:r>
    </w:p>
    <w:p w:rsidR="00420F99" w:rsidRDefault="00420F99" w:rsidP="00420F99">
      <w:pPr>
        <w:spacing w:line="360" w:lineRule="auto"/>
        <w:contextualSpacing/>
        <w:rPr>
          <w:rFonts w:ascii="Arial" w:hAnsi="Arial" w:cs="Arial"/>
          <w:color w:val="222222"/>
          <w:shd w:val="clear" w:color="auto" w:fill="FFFFFF"/>
        </w:rPr>
      </w:pPr>
      <w:r>
        <w:rPr>
          <w:rFonts w:ascii="Arial" w:hAnsi="Arial" w:cs="Arial"/>
          <w:color w:val="222222"/>
          <w:shd w:val="clear" w:color="auto" w:fill="FFFFFF"/>
        </w:rPr>
        <w:t>Ταχ. Κωδ.: 142 31</w:t>
      </w:r>
    </w:p>
    <w:p w:rsidR="00420F99" w:rsidRDefault="00420F99" w:rsidP="00420F99">
      <w:pPr>
        <w:spacing w:line="360" w:lineRule="auto"/>
        <w:contextualSpacing/>
        <w:rPr>
          <w:rFonts w:ascii="Arial" w:hAnsi="Arial" w:cs="Arial"/>
          <w:color w:val="222222"/>
          <w:shd w:val="clear" w:color="auto" w:fill="FFFFFF"/>
        </w:rPr>
      </w:pPr>
      <w:r>
        <w:rPr>
          <w:rFonts w:ascii="Arial" w:hAnsi="Arial" w:cs="Arial"/>
          <w:color w:val="222222"/>
          <w:shd w:val="clear" w:color="auto" w:fill="FFFFFF"/>
        </w:rPr>
        <w:t>Τηλέφωνο: 2102756280</w:t>
      </w:r>
    </w:p>
    <w:p w:rsidR="00420F99" w:rsidRDefault="00420F99" w:rsidP="00420F99">
      <w:pPr>
        <w:spacing w:line="360" w:lineRule="auto"/>
        <w:contextualSpacing/>
        <w:rPr>
          <w:rFonts w:ascii="Arial" w:hAnsi="Arial" w:cs="Arial"/>
          <w:color w:val="222222"/>
          <w:shd w:val="clear" w:color="auto" w:fill="FFFFFF"/>
        </w:rPr>
      </w:pPr>
      <w:r>
        <w:rPr>
          <w:rFonts w:ascii="Arial" w:hAnsi="Arial" w:cs="Arial"/>
          <w:color w:val="222222"/>
          <w:shd w:val="clear" w:color="auto" w:fill="FFFFFF"/>
          <w:lang w:val="en-US"/>
        </w:rPr>
        <w:t>e</w:t>
      </w:r>
      <w:r>
        <w:rPr>
          <w:rFonts w:ascii="Arial" w:hAnsi="Arial" w:cs="Arial"/>
          <w:color w:val="222222"/>
          <w:shd w:val="clear" w:color="auto" w:fill="FFFFFF"/>
        </w:rPr>
        <w:t>-</w:t>
      </w:r>
      <w:r>
        <w:rPr>
          <w:rFonts w:ascii="Arial" w:hAnsi="Arial" w:cs="Arial"/>
          <w:color w:val="222222"/>
          <w:shd w:val="clear" w:color="auto" w:fill="FFFFFF"/>
          <w:lang w:val="en-US"/>
        </w:rPr>
        <w:t>mail</w:t>
      </w:r>
      <w:r>
        <w:rPr>
          <w:rFonts w:ascii="Arial" w:hAnsi="Arial" w:cs="Arial"/>
          <w:color w:val="222222"/>
          <w:shd w:val="clear" w:color="auto" w:fill="FFFFFF"/>
        </w:rPr>
        <w:t xml:space="preserve"> irinodikionionia @ yahoo.gr</w:t>
      </w:r>
    </w:p>
    <w:p w:rsidR="00420F99" w:rsidRDefault="00420F99" w:rsidP="00420F99">
      <w:pPr>
        <w:spacing w:line="360" w:lineRule="auto"/>
        <w:contextualSpacing/>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
    <w:p w:rsidR="00420F99" w:rsidRDefault="00420F99" w:rsidP="00420F99">
      <w:pPr>
        <w:spacing w:line="360" w:lineRule="auto"/>
        <w:contextualSpacing/>
        <w:rPr>
          <w:rFonts w:ascii="Arial" w:hAnsi="Arial" w:cs="Arial"/>
          <w:sz w:val="24"/>
          <w:szCs w:val="24"/>
        </w:rPr>
      </w:pPr>
      <w:r>
        <w:rPr>
          <w:rFonts w:ascii="Arial" w:hAnsi="Arial" w:cs="Arial"/>
          <w:sz w:val="24"/>
          <w:szCs w:val="24"/>
        </w:rPr>
        <w:t xml:space="preserve">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w:t>
      </w:r>
      <w:r w:rsidRPr="00420F99">
        <w:rPr>
          <w:rFonts w:ascii="Arial" w:hAnsi="Arial" w:cs="Arial"/>
          <w:sz w:val="24"/>
          <w:szCs w:val="24"/>
        </w:rPr>
        <w:t xml:space="preserve">36587 </w:t>
      </w:r>
      <w:r>
        <w:rPr>
          <w:rFonts w:ascii="Arial" w:hAnsi="Arial" w:cs="Arial"/>
          <w:sz w:val="24"/>
          <w:szCs w:val="24"/>
        </w:rPr>
        <w:t xml:space="preserve">/10 Ιουνίου 2021 (ΦΕΚ Β 2476/10 Ιουνίου 2021) Έκτακτα μέτρα προστασίας της δημόσιας υγείας από τον κίνδυνο περαιτέρω διασποράς του κορωνοϊού COVID-19 στο σύνολο της Επικράτειας, για το διάστημα </w:t>
      </w:r>
      <w:r w:rsidRPr="00420F99">
        <w:rPr>
          <w:rFonts w:ascii="Arial" w:hAnsi="Arial" w:cs="Arial"/>
          <w:sz w:val="24"/>
          <w:szCs w:val="24"/>
        </w:rPr>
        <w:t>από τη Δευτέρα, 14 Ιουνίου</w:t>
      </w:r>
      <w:r>
        <w:rPr>
          <w:rFonts w:ascii="Arial" w:hAnsi="Arial" w:cs="Arial"/>
          <w:sz w:val="24"/>
          <w:szCs w:val="24"/>
        </w:rPr>
        <w:t xml:space="preserve"> </w:t>
      </w:r>
      <w:r w:rsidRPr="00420F99">
        <w:rPr>
          <w:rFonts w:ascii="Arial" w:hAnsi="Arial" w:cs="Arial"/>
          <w:sz w:val="24"/>
          <w:szCs w:val="24"/>
        </w:rPr>
        <w:t>2021 και ώρα 6:00 έως και τη Δευτέρα, 21 Ιουνίου 2021 και ώρα 6:0</w:t>
      </w:r>
      <w:r>
        <w:rPr>
          <w:rFonts w:ascii="Arial" w:hAnsi="Arial" w:cs="Arial"/>
          <w:sz w:val="24"/>
          <w:szCs w:val="24"/>
        </w:rPr>
        <w:t>0:</w:t>
      </w:r>
    </w:p>
    <w:p w:rsidR="00420F99" w:rsidRDefault="00420F99" w:rsidP="00420F99">
      <w:pPr>
        <w:spacing w:line="360" w:lineRule="auto"/>
        <w:contextualSpacing/>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α) Αναστέλλονται προσωρινά οι δίκες ενώπιον των πολιτικών και ποινικών δικαστηρίων.</w:t>
      </w:r>
    </w:p>
    <w:p w:rsidR="00420F99" w:rsidRDefault="00420F99" w:rsidP="00420F99">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περ. α): …ββ) Οι δίκες της τακτικής διαδικασίας, οι οποίες εκδικάζονται σύμφωνα με τον ν. 4335/2015 (Α' 87).</w:t>
      </w:r>
    </w:p>
    <w:p w:rsidR="00420F99" w:rsidRDefault="00420F99" w:rsidP="00420F99">
      <w:pPr>
        <w:spacing w:line="360" w:lineRule="auto"/>
        <w:contextualSpacing/>
        <w:jc w:val="both"/>
        <w:rPr>
          <w:rFonts w:ascii="Arial" w:hAnsi="Arial" w:cs="Arial"/>
          <w:i/>
          <w:sz w:val="24"/>
          <w:szCs w:val="24"/>
        </w:rPr>
      </w:pPr>
      <w:r>
        <w:rPr>
          <w:rFonts w:ascii="Arial" w:hAnsi="Arial" w:cs="Arial"/>
          <w:i/>
          <w:sz w:val="24"/>
          <w:szCs w:val="24"/>
        </w:rPr>
        <w:t>…βδ) Οι δίκες τακτικής διαδικασίας που εκδικάζονται σύμφωνα με τις διατάξεις του ν. 2915/2001 (Α' 109), όπως τροποποιήθηκε με τον ν. 4055/2012 (Α' 51).</w:t>
      </w:r>
    </w:p>
    <w:p w:rsidR="00420F99" w:rsidRDefault="00420F99" w:rsidP="00420F99">
      <w:pPr>
        <w:spacing w:line="360" w:lineRule="auto"/>
        <w:contextualSpacing/>
        <w:jc w:val="both"/>
        <w:rPr>
          <w:rFonts w:ascii="Arial" w:hAnsi="Arial" w:cs="Arial"/>
          <w:sz w:val="24"/>
          <w:szCs w:val="24"/>
        </w:rPr>
      </w:pPr>
      <w:r>
        <w:rPr>
          <w:rFonts w:ascii="Arial" w:hAnsi="Arial" w:cs="Arial"/>
          <w:i/>
          <w:sz w:val="24"/>
          <w:szCs w:val="24"/>
        </w:rPr>
        <w:t>βε) Οι δίκες ειδικών διαδικασιών και εφέσεων κατά ερήμην αποφάσεων, εισαγόμενων κατά το άρθρο 528 ΚΠολΔ</w:t>
      </w:r>
      <w:r>
        <w:rPr>
          <w:rFonts w:ascii="Arial" w:hAnsi="Arial" w:cs="Arial"/>
          <w:sz w:val="24"/>
          <w:szCs w:val="24"/>
        </w:rPr>
        <w:t xml:space="preserve">. </w:t>
      </w:r>
    </w:p>
    <w:p w:rsidR="00420F99" w:rsidRDefault="00420F99" w:rsidP="00420F99">
      <w:pPr>
        <w:spacing w:line="360" w:lineRule="auto"/>
        <w:contextualSpacing/>
        <w:jc w:val="both"/>
        <w:rPr>
          <w:rFonts w:ascii="Arial" w:hAnsi="Arial" w:cs="Arial"/>
          <w:i/>
          <w:sz w:val="24"/>
          <w:szCs w:val="24"/>
        </w:rPr>
      </w:pPr>
      <w:r>
        <w:rPr>
          <w:rFonts w:ascii="Arial" w:hAnsi="Arial" w:cs="Arial"/>
          <w:i/>
          <w:sz w:val="24"/>
          <w:szCs w:val="24"/>
        </w:rPr>
        <w:t>βστ) Οι δίκες ασφαλιστικών μέτρων στις οποίες δεν εξετάζονται μάρτυρες, με τη δυνατότητα προσκόμισης ένορκων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w:t>
      </w:r>
      <w:r>
        <w:rPr>
          <w:rFonts w:ascii="Arial" w:hAnsi="Arial" w:cs="Arial"/>
          <w:b/>
          <w:i/>
          <w:sz w:val="24"/>
          <w:szCs w:val="24"/>
        </w:rPr>
        <w:t xml:space="preserve">, </w:t>
      </w:r>
      <w:r>
        <w:rPr>
          <w:rFonts w:ascii="Arial" w:hAnsi="Arial" w:cs="Arial"/>
          <w:i/>
          <w:sz w:val="24"/>
          <w:szCs w:val="24"/>
        </w:rPr>
        <w:t>εγγραφή ή εξάλειψη</w:t>
      </w:r>
      <w:r>
        <w:rPr>
          <w:rFonts w:ascii="Arial" w:hAnsi="Arial" w:cs="Arial"/>
          <w:b/>
          <w:i/>
          <w:sz w:val="24"/>
          <w:szCs w:val="24"/>
        </w:rPr>
        <w:t xml:space="preserve"> </w:t>
      </w:r>
      <w:r>
        <w:rPr>
          <w:rFonts w:ascii="Arial" w:hAnsi="Arial" w:cs="Arial"/>
          <w:i/>
          <w:sz w:val="24"/>
          <w:szCs w:val="24"/>
        </w:rPr>
        <w:t>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w:t>
      </w:r>
      <w:r>
        <w:rPr>
          <w:rFonts w:ascii="Arial" w:hAnsi="Arial" w:cs="Arial"/>
          <w:i/>
          <w:sz w:val="24"/>
          <w:szCs w:val="24"/>
        </w:rPr>
        <w:lastRenderedPageBreak/>
        <w:t>τών, τις σχετικές με αυτές διαφορές του άρθρου 702 ΚΠολΔ, τις δίκες ασφαλιστικών μέτρων νομής καθώς και τις δίκες της παρ. 3 του άρθρου 943 ΚΠολΔ, στις οποίες δύναται να εξετάζονται μάρτυρες στο ακροατήριο.</w:t>
      </w:r>
    </w:p>
    <w:p w:rsidR="00420F99" w:rsidRDefault="00420F99" w:rsidP="00420F99">
      <w:pPr>
        <w:spacing w:line="360" w:lineRule="auto"/>
        <w:contextualSpacing/>
        <w:jc w:val="both"/>
        <w:rPr>
          <w:rFonts w:ascii="Arial" w:hAnsi="Arial" w:cs="Arial"/>
          <w:i/>
          <w:strike/>
          <w:sz w:val="24"/>
          <w:szCs w:val="24"/>
        </w:rPr>
      </w:pPr>
      <w:r>
        <w:rPr>
          <w:rFonts w:ascii="Arial" w:hAnsi="Arial" w:cs="Arial"/>
          <w:i/>
          <w:sz w:val="24"/>
          <w:szCs w:val="24"/>
        </w:rPr>
        <w:t>βζ) ) Οι δίκες εκούσιας δικαιοδοσίας πρώτου βαθμού, οι δίκες πρώτου βαθμού που αφορούν ειδικούς νόμους, οι οποίες δικάζονται με τη διαδικασία της εκούσιας δικαιοδοσίας και οι δίκες πρώτου βαθμού του ν. 3869/2010 και του άρθρου 1 του ν. 4745/2020 (Α' 214).</w:t>
      </w:r>
    </w:p>
    <w:p w:rsidR="00420F99" w:rsidRDefault="00420F99" w:rsidP="00420F99">
      <w:pPr>
        <w:spacing w:line="360" w:lineRule="auto"/>
        <w:contextualSpacing/>
        <w:jc w:val="both"/>
        <w:rPr>
          <w:rFonts w:ascii="Arial" w:hAnsi="Arial" w:cs="Arial"/>
          <w:i/>
          <w:sz w:val="24"/>
          <w:szCs w:val="24"/>
        </w:rPr>
      </w:pPr>
      <w:r>
        <w:rPr>
          <w:rFonts w:ascii="Arial" w:hAnsi="Arial" w:cs="Arial"/>
          <w:i/>
          <w:sz w:val="24"/>
          <w:szCs w:val="24"/>
        </w:rPr>
        <w:t xml:space="preserve">Συναινετικά αιτήματα αναβολής για τις υποπερ. βγ) έως και βζ), υποβάλλονται σύμφωνα με την παρ. 3 του άρθρου 83 του ν. 4790/2021. </w:t>
      </w:r>
    </w:p>
    <w:p w:rsidR="00420F99" w:rsidRDefault="00420F99" w:rsidP="00420F99">
      <w:pPr>
        <w:spacing w:line="360" w:lineRule="auto"/>
        <w:contextualSpacing/>
        <w:jc w:val="both"/>
        <w:rPr>
          <w:rFonts w:ascii="Arial" w:hAnsi="Arial" w:cs="Arial"/>
          <w:i/>
          <w:sz w:val="24"/>
          <w:szCs w:val="24"/>
        </w:rPr>
      </w:pPr>
      <w:r>
        <w:rPr>
          <w:rFonts w:ascii="Arial" w:hAnsi="Arial" w:cs="Arial"/>
          <w:i/>
          <w:sz w:val="24"/>
          <w:szCs w:val="24"/>
        </w:rPr>
        <w:t>….βι)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420F99" w:rsidRDefault="00420F99" w:rsidP="00420F99">
      <w:pPr>
        <w:spacing w:line="360" w:lineRule="auto"/>
        <w:contextualSpacing/>
        <w:jc w:val="both"/>
        <w:rPr>
          <w:rFonts w:ascii="Arial" w:hAnsi="Arial" w:cs="Arial"/>
          <w:sz w:val="24"/>
          <w:szCs w:val="24"/>
        </w:rPr>
      </w:pPr>
      <w:r>
        <w:rPr>
          <w:rFonts w:ascii="Arial" w:hAnsi="Arial" w:cs="Arial"/>
          <w:i/>
          <w:sz w:val="24"/>
          <w:szCs w:val="24"/>
        </w:rPr>
        <w:t>…βκβ) Η δημοσίευση αποφάσεων</w:t>
      </w:r>
      <w:r>
        <w:rPr>
          <w:rFonts w:ascii="Arial" w:hAnsi="Arial" w:cs="Arial"/>
          <w:sz w:val="24"/>
          <w:szCs w:val="24"/>
        </w:rPr>
        <w:t>.»</w:t>
      </w:r>
    </w:p>
    <w:p w:rsidR="00420F99" w:rsidRDefault="00420F99" w:rsidP="00420F99">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 xml:space="preserve">για το χρονικό διάστημα  για το διάστημα </w:t>
      </w:r>
      <w:r w:rsidRPr="00420F99">
        <w:rPr>
          <w:rFonts w:ascii="Arial" w:hAnsi="Arial" w:cs="Arial"/>
          <w:sz w:val="24"/>
          <w:szCs w:val="24"/>
        </w:rPr>
        <w:t>από τη Δευτέρα, 14 Ιουνίου</w:t>
      </w:r>
      <w:r>
        <w:rPr>
          <w:rFonts w:ascii="Arial" w:hAnsi="Arial" w:cs="Arial"/>
          <w:sz w:val="24"/>
          <w:szCs w:val="24"/>
        </w:rPr>
        <w:t xml:space="preserve"> </w:t>
      </w:r>
      <w:r w:rsidRPr="00420F99">
        <w:rPr>
          <w:rFonts w:ascii="Arial" w:hAnsi="Arial" w:cs="Arial"/>
          <w:sz w:val="24"/>
          <w:szCs w:val="24"/>
        </w:rPr>
        <w:t>2021 και ώρα 6:00 έως και τη Δευτέρ</w:t>
      </w:r>
      <w:r>
        <w:rPr>
          <w:rFonts w:ascii="Arial" w:hAnsi="Arial" w:cs="Arial"/>
          <w:sz w:val="24"/>
          <w:szCs w:val="24"/>
        </w:rPr>
        <w:t xml:space="preserve">α, 21 Ιουνίου 2021 και ώρα 6:00, η λειτουργία του δικαστηρίου και της γραμματείας του Ειρηνοδικείου Νέας Ιωνίας θα γίνεται όπως παρακάτω: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Θα δικάζονται: 1α) Οι δίκες της τακτικής διαδικασίας, οι οποίες εκδικάζονται σύμφωνα με τις διατάξεις του ν. 4335/2015 (Α' 87) καθώς και 1β) οι δίκες τακτικής διαδικασίας που εκδικάζονται σύμφωνα με τις διατάξεις του ν. 2915/2001 (Α' 109), όπως τροποποιήθηκε με τον ν. 4055/2012 (Α' 51).</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2) Οι δίκες μικροδιαφορών.</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3) Οι δίκες ειδικών διαδικασιών.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4) Οι δίκες ασφαλιστικών μέτρων στις οποίες δεν εξετάζονται μάρτυρες, με τη δυνατότητα προσκόμισης ένορκων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r>
        <w:rPr>
          <w:rFonts w:ascii="Arial" w:hAnsi="Arial" w:cs="Arial"/>
          <w:sz w:val="24"/>
          <w:szCs w:val="24"/>
        </w:rPr>
        <w:lastRenderedPageBreak/>
        <w:t xml:space="preserve">ΚΠολΔ, ευρωπαϊκή διαταγή δέσμευσης λογαριασμού κατά άρθρο 738Α ΚΠολΔ, τις ανακλήσεις αυτών, τις σχετικές με αυτές διαφορές του άρθρου 702 ΚΠολΔ, τις δίκες ασφαλιστικών μέτρων νομής καθώς και τις δίκες της παρ. 3 του άρθρου 943 ΚΠολΔ, στις οποίες δύναται να εξετάζονται μάρτυρες στο ακροατήριο.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άρθρου 1 του ν. 4745/2020 (Α' 214).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6) Ο Πρόεδρος του δικαστηρίου, κατανέμει χρονικά, εντός της αυτής ημέρας, τις εγγεγραμμένες στο πινάκιο ή έκθεμα υποθέσεις, πλην της νέας τακτικής (άρθρα 237 και 238 ΚΠολΔ) και ο καταμερισμός αυτός με πρωτοβουλία του γραμματέα γνωστοποιείται ακολούθως, και πάντως το αργότερο την προηγούμενη της δικασίμου εργάσιμη ημέρα, στους διαδίκους ή στους πληρεξούσιους δικηγόρους τους, με αποστολή ηλεκτρονικού μηνύματος στον οικείο δικηγορικό σύλλογο, στην Κεντρική Υπηρεσία του Νομικού Συμβουλίου του Κράτους στις</w:t>
      </w:r>
      <w:r>
        <w:t xml:space="preserve"> </w:t>
      </w:r>
      <w:r>
        <w:rPr>
          <w:rFonts w:ascii="Arial" w:hAnsi="Arial" w:cs="Arial"/>
          <w:sz w:val="24"/>
          <w:szCs w:val="24"/>
        </w:rPr>
        <w:t xml:space="preserve">υποθέσεις με διάδικο το Ελληνικό Δημόσιο και προσθέτως στη διεύθυνση ηλεκτρονικού ταχυδρομείου τους, εφόσον είναι γνωστή, ή με ανάρτηση στην πύλη ψηφιακών υπηρεσιών δικαστηρίων solon.gov.gr. Συναινετικά αιτήματα αναβολής για τις υποπερ. 1α) έως και 5), υποβάλλονται σύμφωνα με την παρ. 3 του άρθρου 83 του ν. 4790/2021, </w:t>
      </w:r>
      <w:r>
        <w:rPr>
          <w:rFonts w:ascii="Arial" w:hAnsi="Arial" w:cs="Arial"/>
          <w:sz w:val="24"/>
          <w:szCs w:val="24"/>
          <w:shd w:val="clear" w:color="auto" w:fill="FFFFFF"/>
        </w:rPr>
        <w:t>ατελώς, ήτοι χωρίς καταβολή μεγαροσήμου και τέλους αναβολής</w:t>
      </w:r>
      <w:r>
        <w:rPr>
          <w:rFonts w:ascii="Arial" w:hAnsi="Arial" w:cs="Arial"/>
          <w:i/>
          <w:sz w:val="24"/>
          <w:szCs w:val="24"/>
        </w:rPr>
        <w:t xml:space="preserve"> </w:t>
      </w:r>
      <w:r>
        <w:rPr>
          <w:rFonts w:ascii="Arial" w:hAnsi="Arial" w:cs="Arial"/>
          <w:sz w:val="24"/>
          <w:szCs w:val="24"/>
        </w:rPr>
        <w:t xml:space="preserve">και χωρίς τις δεσμεύσεις του άρθρου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Προεκφωνήσεις υποθέσεων δεν θα γίνονται και κάθε υπόθεση θα εκφωνείται (ή θα ματαιώνεται η συζήτησή της) κατά την αριθμητική και χρονική σειρά της στο πινάκιο, ενώ θα προτάσσονται οι υποθέσεις του πινακίου ή εκθέματος για τις οποίες οι πληρεξούσιοι δικηγόροι των διαδίκων με κοινή ανέκ</w:t>
      </w:r>
      <w:r>
        <w:rPr>
          <w:rFonts w:ascii="Arial" w:hAnsi="Arial" w:cs="Arial"/>
          <w:sz w:val="24"/>
          <w:szCs w:val="24"/>
        </w:rPr>
        <w:lastRenderedPageBreak/>
        <w:t xml:space="preserve">κλητη δήλωση τους έχουν διατυπώσει αίτημα αναβολής χωρίς παράστασή τους στο ακροατήριο.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7) Οι δίκες εκουσίας δικαιοδοσίας, που έχουν ως αντικείμενο την κήρυξη ιδιόγραφης διαθήκης ως κυρίας (803 παρ. 3ΚΠολΔ) θα διεξάγονται κανονικά ενώπιον του Ειρηνοδίκη Υπηρεσίας. Οι πληρεξούσιοι δικηγόροι και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στον αίθριο χώρο του Ειρηνοδικείου.</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8)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προσωρινές διαταγές των Ν. 3869/2010 και 4605/2019.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9) Η δημοσίευση των δημοσίων διαθηκών, θα λάβει χώρα κανονικά. Επίσης ιδιόγραφες διαθήκες για δημοσίευση και για κήρυξη κυρίας μπορούν να προσάγονται στη γραμματεία του δικαστηρίου, μόνο κατόπιν ραντεβού στα τηλέφωνα 2102793289 και 2102725072. Η δημοσίευση αυτών θα γίνεται από τον Ειρηνοδίκη Υπηρεσίας.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θα πραγματοποιούνται κανονικά, κατόπιν ραντεβού.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10) Κατατίθενται δικόγραφα όλων των διαδικασιών, διαταγών πληρωμής και διαταγών απόδοσης μισθίου, δικόγραφα ενδίκων μέσων και βοηθημάτων, κατόπιν επικοινωνίας με τα αρμόδια γραφεία στα πιο πάνω τηλέφωνα για ραντεβού. Παρακαλούνται οι κ.κ. πληρεξούσιοι Δικηγόροι, προς αποφυγή συγχρωτισμού, να προβαίνουν σε ηλεκτρονική κατάθεση δικογράφων, όπου αυτό είναι δυνατό.</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11)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τις διατάξεις του άρθρου 161 παρ 1 και 2 του ν. 4764/2020 (Τεύχος A’ 256/23.12. 2020), η ισχύς των οποίων παρατάθηκε με την Υπουργική απόφαση με Αριθμ. 16737/2021 – ΦΕΚ Β 1226/30-03-2021, για το χρονι</w:t>
      </w:r>
      <w:r>
        <w:rPr>
          <w:rFonts w:ascii="Arial" w:hAnsi="Arial" w:cs="Arial"/>
          <w:sz w:val="24"/>
          <w:szCs w:val="24"/>
        </w:rPr>
        <w:lastRenderedPageBreak/>
        <w:t xml:space="preserve">κό διάστημα από την 1η Απριλίου 2021 έως και τις 30 Ιουνίου 2021. Η συζήτηση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παρ.2 του άρθρου 115 ΚΠολΔ και οι διάδικοι θα παρίστανται στο ακροατήριο του δικαστηρίου, με δήλωση, σύμφωνα με την παρ.2 του άρθρου 242 ΚΠολΔ. </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12) Θα λαμβάνονται δηλώσεις αποποίησης κληρονομιάς, κατόπιν ραντεβού προς αποφυγή συνωστισμού. Επίσης θα λαμβάνονται δηλώσεις τρίτου και θα βεβαιώνεται το  γνήσιο υπογραφής συναινετικών διαζυγίων.</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13) Νομική βοήθεια θα χορηγείται. Η κατάθεση των σχετικών αιτήσεων θα λαμβάνει χώρα κατόπιν προηγούμενης συνεννόησης με τη γραμματεία του δικαστηρίου. </w:t>
      </w:r>
    </w:p>
    <w:p w:rsidR="00420F99" w:rsidRDefault="00420F99" w:rsidP="00420F99">
      <w:pPr>
        <w:spacing w:before="240" w:after="240" w:line="360" w:lineRule="auto"/>
        <w:contextualSpacing/>
        <w:jc w:val="both"/>
        <w:textAlignment w:val="baseline"/>
        <w:rPr>
          <w:rFonts w:ascii="Arial" w:eastAsiaTheme="minorHAnsi" w:hAnsi="Arial" w:cs="Arial"/>
          <w:sz w:val="24"/>
          <w:szCs w:val="24"/>
        </w:rPr>
      </w:pPr>
      <w:r>
        <w:rPr>
          <w:rFonts w:ascii="Arial" w:hAnsi="Arial" w:cs="Arial"/>
          <w:sz w:val="24"/>
          <w:szCs w:val="24"/>
        </w:rPr>
        <w:t xml:space="preserve">      14) Θα λαμβάνονται ένορκες βεβαιώσεις. Για τη λήψη τους θα προηγείται τηλεφωνική επικοινωνία με τη γραμματεία στο τηλέφωνο 2102799494, για ορισμό ημέρας και ώρας λήψης τους για την αποφυγή συνωστισμού.</w:t>
      </w:r>
    </w:p>
    <w:p w:rsidR="00420F99" w:rsidRDefault="00420F99" w:rsidP="00420F99">
      <w:pPr>
        <w:spacing w:line="360" w:lineRule="auto"/>
        <w:contextualSpacing/>
        <w:jc w:val="both"/>
        <w:rPr>
          <w:rFonts w:ascii="Arial" w:hAnsi="Arial" w:cs="Arial"/>
          <w:sz w:val="24"/>
          <w:szCs w:val="24"/>
        </w:rPr>
      </w:pPr>
      <w:r>
        <w:rPr>
          <w:rFonts w:ascii="Arial" w:hAnsi="Arial" w:cs="Arial"/>
          <w:sz w:val="24"/>
          <w:szCs w:val="24"/>
        </w:rPr>
        <w:t xml:space="preserve">       15) Θα δημοσιεύονται αποφάσεις, διαταγές πληρωμής και απόδοσης μισθίου, διατάξεις κληρονομητηρίων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Γραμματεία του παρόντος Δικαστηρίου. Οι αιτήσεις για την έκδοση των διατάξεων θα κατατίθενται κατόπιν ραντεβού. </w:t>
      </w:r>
    </w:p>
    <w:p w:rsidR="00420F99" w:rsidRDefault="00420F99" w:rsidP="00420F99">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θα εξυπηρετούν το κοινό και τους πληρεξουσίους δικηγόρους για τις προβλεπόμενες ως άνω εξαιρέσεις λειτουργίας του δικαστηρίου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 xml:space="preserve">Προανάκριση θα διενεργείται κανονικά. </w:t>
      </w:r>
    </w:p>
    <w:p w:rsidR="00420F99" w:rsidRDefault="00420F99" w:rsidP="00420F99">
      <w:pPr>
        <w:spacing w:line="360" w:lineRule="auto"/>
        <w:contextualSpacing/>
        <w:jc w:val="both"/>
        <w:rPr>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w:t>
      </w:r>
      <w:r>
        <w:rPr>
          <w:rFonts w:ascii="Arial" w:hAnsi="Arial" w:cs="Arial"/>
          <w:sz w:val="24"/>
          <w:szCs w:val="24"/>
        </w:rPr>
        <w:lastRenderedPageBreak/>
        <w:t>εισερχομένων ατόμων εντός του ακροατηρίου δεν θα υπερβαίνει τα δέκα πέντε (15) άτομα.</w:t>
      </w:r>
      <w:r>
        <w:rPr>
          <w:rFonts w:ascii="Arial" w:hAnsi="Arial" w:cs="Arial"/>
          <w:sz w:val="20"/>
          <w:szCs w:val="20"/>
        </w:rPr>
        <w:t xml:space="preserve"> </w:t>
      </w:r>
    </w:p>
    <w:p w:rsidR="00420F99" w:rsidRDefault="00420F99" w:rsidP="00420F99">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420F99" w:rsidRDefault="00420F99" w:rsidP="00420F99">
      <w:pPr>
        <w:spacing w:line="360" w:lineRule="auto"/>
        <w:contextualSpacing/>
        <w:rPr>
          <w:rFonts w:ascii="Arial" w:hAnsi="Arial" w:cs="Arial"/>
          <w:sz w:val="24"/>
          <w:szCs w:val="24"/>
        </w:rPr>
      </w:pPr>
      <w:r>
        <w:rPr>
          <w:rFonts w:ascii="Arial" w:hAnsi="Arial" w:cs="Arial"/>
          <w:sz w:val="24"/>
          <w:szCs w:val="24"/>
        </w:rPr>
        <w:t xml:space="preserve">                               </w:t>
      </w:r>
    </w:p>
    <w:p w:rsidR="00420F99" w:rsidRDefault="00420F99" w:rsidP="00420F99">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420F99" w:rsidRDefault="00420F99" w:rsidP="00420F99">
      <w:pPr>
        <w:spacing w:line="360" w:lineRule="auto"/>
      </w:pPr>
      <w:r>
        <w:rPr>
          <w:rFonts w:ascii="Arial" w:hAnsi="Arial" w:cs="Arial"/>
          <w:sz w:val="24"/>
          <w:szCs w:val="24"/>
        </w:rPr>
        <w:t xml:space="preserve">                       </w:t>
      </w:r>
    </w:p>
    <w:p w:rsidR="00420F99" w:rsidRDefault="00420F99" w:rsidP="00420F99">
      <w:pPr>
        <w:spacing w:line="360" w:lineRule="auto"/>
      </w:pPr>
    </w:p>
    <w:p w:rsidR="00420F99" w:rsidRDefault="00420F99" w:rsidP="00420F99">
      <w:pPr>
        <w:spacing w:line="360" w:lineRule="auto"/>
      </w:pPr>
    </w:p>
    <w:p w:rsidR="00420F99" w:rsidRDefault="00420F99" w:rsidP="00420F99">
      <w:pPr>
        <w:spacing w:line="360" w:lineRule="auto"/>
      </w:pPr>
    </w:p>
    <w:p w:rsidR="00420F99" w:rsidRDefault="00420F99" w:rsidP="00420F99"/>
    <w:p w:rsidR="00420F99" w:rsidRDefault="00420F99" w:rsidP="00420F99"/>
    <w:p w:rsidR="00420F99" w:rsidRDefault="00420F99" w:rsidP="00420F99"/>
    <w:p w:rsidR="00694F86" w:rsidRDefault="00694F86"/>
    <w:sectPr w:rsidR="00694F86" w:rsidSect="00420F99">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1D" w:rsidRDefault="00AF2A1D" w:rsidP="00420F99">
      <w:pPr>
        <w:spacing w:after="0" w:line="240" w:lineRule="auto"/>
      </w:pPr>
      <w:r>
        <w:separator/>
      </w:r>
    </w:p>
  </w:endnote>
  <w:endnote w:type="continuationSeparator" w:id="0">
    <w:p w:rsidR="00AF2A1D" w:rsidRDefault="00AF2A1D" w:rsidP="0042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1D" w:rsidRDefault="00AF2A1D" w:rsidP="00420F99">
      <w:pPr>
        <w:spacing w:after="0" w:line="240" w:lineRule="auto"/>
      </w:pPr>
      <w:r>
        <w:separator/>
      </w:r>
    </w:p>
  </w:footnote>
  <w:footnote w:type="continuationSeparator" w:id="0">
    <w:p w:rsidR="00AF2A1D" w:rsidRDefault="00AF2A1D" w:rsidP="0042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48985"/>
      <w:docPartObj>
        <w:docPartGallery w:val="Page Numbers (Top of Page)"/>
        <w:docPartUnique/>
      </w:docPartObj>
    </w:sdtPr>
    <w:sdtEndPr/>
    <w:sdtContent>
      <w:p w:rsidR="00420F99" w:rsidRDefault="00693D8C">
        <w:pPr>
          <w:pStyle w:val="a3"/>
        </w:pPr>
        <w:r>
          <w:fldChar w:fldCharType="begin"/>
        </w:r>
        <w:r w:rsidR="00420F99">
          <w:instrText>PAGE   \* MERGEFORMAT</w:instrText>
        </w:r>
        <w:r>
          <w:fldChar w:fldCharType="separate"/>
        </w:r>
        <w:r w:rsidR="00C2267E">
          <w:rPr>
            <w:noProof/>
          </w:rPr>
          <w:t>2</w:t>
        </w:r>
        <w:r>
          <w:fldChar w:fldCharType="end"/>
        </w:r>
      </w:p>
    </w:sdtContent>
  </w:sdt>
  <w:p w:rsidR="00420F99" w:rsidRDefault="00420F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99"/>
    <w:rsid w:val="001273E0"/>
    <w:rsid w:val="001E4B79"/>
    <w:rsid w:val="00420F99"/>
    <w:rsid w:val="004E513F"/>
    <w:rsid w:val="00552DC8"/>
    <w:rsid w:val="00693D8C"/>
    <w:rsid w:val="00694F86"/>
    <w:rsid w:val="00AF2A1D"/>
    <w:rsid w:val="00C2267E"/>
    <w:rsid w:val="00FF6F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AA6E7-DD15-40D1-A3E5-1292FBEA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F99"/>
    <w:pPr>
      <w:spacing w:line="252"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420F99"/>
    <w:rPr>
      <w:rFonts w:ascii="Arial" w:hAnsi="Arial" w:cs="Arial" w:hint="default"/>
      <w:sz w:val="22"/>
      <w:szCs w:val="22"/>
    </w:rPr>
  </w:style>
  <w:style w:type="paragraph" w:styleId="a3">
    <w:name w:val="header"/>
    <w:basedOn w:val="a"/>
    <w:link w:val="Char"/>
    <w:uiPriority w:val="99"/>
    <w:unhideWhenUsed/>
    <w:rsid w:val="00420F99"/>
    <w:pPr>
      <w:tabs>
        <w:tab w:val="center" w:pos="4153"/>
        <w:tab w:val="right" w:pos="8306"/>
      </w:tabs>
      <w:spacing w:after="0" w:line="240" w:lineRule="auto"/>
    </w:pPr>
  </w:style>
  <w:style w:type="character" w:customStyle="1" w:styleId="Char">
    <w:name w:val="Κεφαλίδα Char"/>
    <w:basedOn w:val="a0"/>
    <w:link w:val="a3"/>
    <w:uiPriority w:val="99"/>
    <w:rsid w:val="00420F99"/>
    <w:rPr>
      <w:rFonts w:ascii="Calibri" w:eastAsia="Calibri" w:hAnsi="Calibri" w:cs="Calibri"/>
    </w:rPr>
  </w:style>
  <w:style w:type="paragraph" w:styleId="a4">
    <w:name w:val="footer"/>
    <w:basedOn w:val="a"/>
    <w:link w:val="Char0"/>
    <w:uiPriority w:val="99"/>
    <w:unhideWhenUsed/>
    <w:rsid w:val="00420F99"/>
    <w:pPr>
      <w:tabs>
        <w:tab w:val="center" w:pos="4153"/>
        <w:tab w:val="right" w:pos="8306"/>
      </w:tabs>
      <w:spacing w:after="0" w:line="240" w:lineRule="auto"/>
    </w:pPr>
  </w:style>
  <w:style w:type="character" w:customStyle="1" w:styleId="Char0">
    <w:name w:val="Υποσέλιδο Char"/>
    <w:basedOn w:val="a0"/>
    <w:link w:val="a4"/>
    <w:uiPriority w:val="99"/>
    <w:rsid w:val="00420F99"/>
    <w:rPr>
      <w:rFonts w:ascii="Calibri" w:eastAsia="Calibri" w:hAnsi="Calibri" w:cs="Calibri"/>
    </w:rPr>
  </w:style>
  <w:style w:type="paragraph" w:styleId="a5">
    <w:name w:val="Balloon Text"/>
    <w:basedOn w:val="a"/>
    <w:link w:val="Char1"/>
    <w:uiPriority w:val="99"/>
    <w:semiHidden/>
    <w:unhideWhenUsed/>
    <w:rsid w:val="001273E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273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9360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Paraskevh</dc:creator>
  <cp:lastModifiedBy>User</cp:lastModifiedBy>
  <cp:revision>2</cp:revision>
  <dcterms:created xsi:type="dcterms:W3CDTF">2021-06-14T08:57:00Z</dcterms:created>
  <dcterms:modified xsi:type="dcterms:W3CDTF">2021-06-14T08:57:00Z</dcterms:modified>
</cp:coreProperties>
</file>