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EB Garamond" w:cs="EB Garamond" w:eastAsia="EB Garamond" w:hAnsi="EB Garamond"/>
          <w:b w:val="1"/>
          <w:bCs w:val="1"/>
          <w:sz w:val="24"/>
          <w:szCs w:val="24"/>
        </w:rPr>
      </w:pPr>
      <w:bookmarkStart w:colFirst="0" w:colLast="0" w:name="_u8p3hf3oqubd" w:id="0"/>
      <w:bookmarkEnd w:id="0"/>
      <w:r w:rsidDel="00000000" w:rsidR="00000000" w:rsidRPr="00000000">
        <w:rPr>
          <w:rFonts w:ascii="EB Garamond" w:cs="EB Garamond" w:eastAsia="EB Garamond" w:hAnsi="EB Garamond"/>
          <w:b w:val="1"/>
          <w:bCs w:val="1"/>
          <w:sz w:val="24"/>
          <w:szCs w:val="24"/>
          <w:rtl w:val="0"/>
        </w:rPr>
        <w:t xml:space="preserve">Επιτροπή Καταπολέμησης Νομιμοποίησης Εσόδων από Παράνομες Δραστηριότητες (AML) του CCBE</w:t>
      </w:r>
    </w:p>
    <w:p w:rsidR="00000000" w:rsidDel="00000000" w:rsidP="00000000" w:rsidRDefault="00000000" w:rsidRPr="00000000" w14:paraId="00000002">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Ημερομηνία:</w:t>
      </w:r>
      <w:r w:rsidDel="00000000" w:rsidR="00000000" w:rsidRPr="00000000">
        <w:rPr>
          <w:rFonts w:ascii="EB Garamond" w:cs="EB Garamond" w:eastAsia="EB Garamond" w:hAnsi="EB Garamond"/>
          <w:sz w:val="24"/>
          <w:szCs w:val="24"/>
          <w:rtl w:val="0"/>
        </w:rPr>
        <w:t xml:space="preserve"> 11 Φεβρουαρίου 2026</w:t>
        <w:br w:type="textWrapping"/>
        <w:t xml:space="preserve"> </w:t>
      </w:r>
      <w:r w:rsidDel="00000000" w:rsidR="00000000" w:rsidRPr="00000000">
        <w:rPr>
          <w:rFonts w:ascii="EB Garamond" w:cs="EB Garamond" w:eastAsia="EB Garamond" w:hAnsi="EB Garamond"/>
          <w:b w:val="1"/>
          <w:bCs w:val="1"/>
          <w:sz w:val="24"/>
          <w:szCs w:val="24"/>
          <w:rtl w:val="0"/>
        </w:rPr>
        <w:t xml:space="preserve">Ώρα:</w:t>
      </w:r>
      <w:r w:rsidDel="00000000" w:rsidR="00000000" w:rsidRPr="00000000">
        <w:rPr>
          <w:rFonts w:ascii="EB Garamond" w:cs="EB Garamond" w:eastAsia="EB Garamond" w:hAnsi="EB Garamond"/>
          <w:sz w:val="24"/>
          <w:szCs w:val="24"/>
          <w:rtl w:val="0"/>
        </w:rPr>
        <w:t xml:space="preserve"> 15:16 – 17:34 (GMT+02:00)</w:t>
        <w:br w:type="textWrapping"/>
        <w:t xml:space="preserve"> </w:t>
      </w:r>
      <w:r w:rsidDel="00000000" w:rsidR="00000000" w:rsidRPr="00000000">
        <w:rPr>
          <w:rFonts w:ascii="EB Garamond" w:cs="EB Garamond" w:eastAsia="EB Garamond" w:hAnsi="EB Garamond"/>
          <w:b w:val="1"/>
          <w:bCs w:val="1"/>
          <w:sz w:val="24"/>
          <w:szCs w:val="24"/>
          <w:rtl w:val="0"/>
        </w:rPr>
        <w:t xml:space="preserve">Τόπος:</w:t>
      </w:r>
      <w:r w:rsidDel="00000000" w:rsidR="00000000" w:rsidRPr="00000000">
        <w:rPr>
          <w:rFonts w:ascii="EB Garamond" w:cs="EB Garamond" w:eastAsia="EB Garamond" w:hAnsi="EB Garamond"/>
          <w:sz w:val="24"/>
          <w:szCs w:val="24"/>
          <w:rtl w:val="0"/>
        </w:rPr>
        <w:t xml:space="preserve"> Βιέννη Αυστρίας και Microsoft Teams (υβριδική συνεδρίαση)</w:t>
      </w:r>
    </w:p>
    <w:p w:rsidR="00000000" w:rsidDel="00000000" w:rsidP="00000000" w:rsidRDefault="00000000" w:rsidRPr="00000000" w14:paraId="00000003">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 </w:t>
      </w:r>
      <w:r w:rsidDel="00000000" w:rsidR="00000000" w:rsidRPr="00000000">
        <w:rPr>
          <w:rFonts w:ascii="EB Garamond" w:cs="EB Garamond" w:eastAsia="EB Garamond" w:hAnsi="EB Garamond"/>
          <w:b w:val="1"/>
          <w:bCs w:val="1"/>
          <w:sz w:val="24"/>
          <w:szCs w:val="24"/>
          <w:rtl w:val="0"/>
        </w:rPr>
        <w:t xml:space="preserve">Ελληνική συμμετοχή:</w:t>
      </w:r>
      <w:r w:rsidDel="00000000" w:rsidR="00000000" w:rsidRPr="00000000">
        <w:rPr>
          <w:rFonts w:ascii="EB Garamond" w:cs="EB Garamond" w:eastAsia="EB Garamond" w:hAnsi="EB Garamond"/>
          <w:sz w:val="24"/>
          <w:szCs w:val="24"/>
          <w:rtl w:val="0"/>
        </w:rPr>
        <w:t xml:space="preserve"> Αλέξης Αναγνωστάκης, ΔΣΑ</w:t>
      </w:r>
    </w:p>
    <w:p w:rsidR="00000000" w:rsidDel="00000000" w:rsidP="00000000" w:rsidRDefault="00000000" w:rsidRPr="00000000" w14:paraId="00000004">
      <w:pPr>
        <w:rPr>
          <w:rFonts w:ascii="EB Garamond" w:cs="EB Garamond" w:eastAsia="EB Garamond" w:hAnsi="EB Garamo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EB Garamond" w:cs="EB Garamond" w:eastAsia="EB Garamond" w:hAnsi="EB Garamond"/>
          <w:b w:val="1"/>
          <w:bCs w:val="1"/>
          <w:sz w:val="24"/>
          <w:szCs w:val="24"/>
        </w:rPr>
      </w:pPr>
      <w:bookmarkStart w:colFirst="0" w:colLast="0" w:name="_rt5e4uocg537" w:id="1"/>
      <w:bookmarkEnd w:id="1"/>
      <w:r w:rsidDel="00000000" w:rsidR="00000000" w:rsidRPr="00000000">
        <w:rPr>
          <w:rFonts w:ascii="EB Garamond" w:cs="EB Garamond" w:eastAsia="EB Garamond" w:hAnsi="EB Garamond"/>
          <w:b w:val="1"/>
          <w:bCs w:val="1"/>
          <w:sz w:val="24"/>
          <w:szCs w:val="24"/>
          <w:rtl w:val="0"/>
        </w:rPr>
        <w:t xml:space="preserve">Σχέδιο Ερμηνευτικού Σημειώματος του CCBE σχετικά με το Άρθρο 70 του Κανονισμού για τη Νομιμοποίηση Εσόδων από Εγκληματικές Δραστηριότητες</w:t>
      </w:r>
    </w:p>
    <w:p w:rsidR="00000000" w:rsidDel="00000000" w:rsidP="00000000" w:rsidRDefault="00000000" w:rsidRPr="00000000" w14:paraId="00000006">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Η επιτροπή επικεντρώθηκε στη συζήτηση των σημείων του σημειώματος που δεν είχαν συγκεντρώσει έως τώρα ομοφωνία. Συμφωνήθηκαν αρκετές τροποποιήσεις. Θα κυκλοφορήσει νέα έκδοση του σημειώματος και θα δοθεί στους εμπειρογνώμονες νέος χρόνος για γραπτά σχόλια. Επιπλέον, θα οργανωθεί ειδική τηλεδιάσκεψη για τη συζήτησή του. Εφόσον η πρόοδος το επιτρέπει, το έγγραφο θα παρουσιαστεί προς έγκριση στη Μόνιμη Επιτροπή στο τέλος Μαρτίου.</w:t>
      </w:r>
    </w:p>
    <w:p w:rsidR="00000000" w:rsidDel="00000000" w:rsidP="00000000" w:rsidRDefault="00000000" w:rsidRPr="00000000" w14:paraId="00000007">
      <w:pPr>
        <w:pStyle w:val="Heading2"/>
        <w:keepNext w:val="0"/>
        <w:keepLines w:val="0"/>
        <w:spacing w:after="80" w:lineRule="auto"/>
        <w:rPr>
          <w:rFonts w:ascii="EB Garamond" w:cs="EB Garamond" w:eastAsia="EB Garamond" w:hAnsi="EB Garamond"/>
          <w:b w:val="1"/>
          <w:bCs w:val="1"/>
          <w:sz w:val="24"/>
          <w:szCs w:val="24"/>
        </w:rPr>
      </w:pPr>
      <w:bookmarkStart w:colFirst="0" w:colLast="0" w:name="_2saj06f8fl9l" w:id="2"/>
      <w:bookmarkEnd w:id="2"/>
      <w:r w:rsidDel="00000000" w:rsidR="00000000" w:rsidRPr="00000000">
        <w:rPr>
          <w:rFonts w:ascii="EB Garamond" w:cs="EB Garamond" w:eastAsia="EB Garamond" w:hAnsi="EB Garamond"/>
          <w:b w:val="1"/>
          <w:bCs w:val="1"/>
          <w:sz w:val="24"/>
          <w:szCs w:val="24"/>
          <w:rtl w:val="0"/>
        </w:rPr>
        <w:t xml:space="preserve">Εφαρμογή του πακέτου για τη Νομιμοποίηση Εσόδων από Εγκληματικές Δραστηριότητες - Κανονιστικά και Τεχνικά Πρότυπα της AMLA</w:t>
      </w:r>
    </w:p>
    <w:p w:rsidR="00000000" w:rsidDel="00000000" w:rsidP="00000000" w:rsidRDefault="00000000" w:rsidRPr="00000000" w14:paraId="00000008">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Η επιτροπή συζήτησε το συνεχιζόμενο έργο της Αρχής για τη Νομιμοποίηση Εσόδων από Εγκληματικές Δραστηριότητες (AMLA) σχετικά με κανονιστικά και τεχνικά πρότυπα που θα συμπληρώνουν τα κύρια νομοθετικά μέσα του πακέτου για τη Νομιμοποίηση Εσόδων από Εγκληματικές Δραστηριότητες. Στις 9 Φεβρουαρίου, η AMLA δημοσίευσε τρεις δημόσιες διαβουλεύσεις και η επιτροπή συμφώνησε ότι θα πρέπει να απαντηθούν όλες από τη CCBE. Θα κυκλοφορήσει ξεχωριστό ηλεκτρονικό μήνυμα σχετικά με αυτό το θέμα προκειμένου να προχωρήσει η εργασία.</w:t>
      </w:r>
    </w:p>
    <w:p w:rsidR="00000000" w:rsidDel="00000000" w:rsidP="00000000" w:rsidRDefault="00000000" w:rsidRPr="00000000" w14:paraId="00000009">
      <w:pPr>
        <w:pStyle w:val="Heading2"/>
        <w:keepNext w:val="0"/>
        <w:keepLines w:val="0"/>
        <w:spacing w:after="80" w:lineRule="auto"/>
        <w:rPr>
          <w:rFonts w:ascii="EB Garamond" w:cs="EB Garamond" w:eastAsia="EB Garamond" w:hAnsi="EB Garamond"/>
          <w:b w:val="1"/>
          <w:bCs w:val="1"/>
          <w:sz w:val="24"/>
          <w:szCs w:val="24"/>
        </w:rPr>
      </w:pPr>
      <w:bookmarkStart w:colFirst="0" w:colLast="0" w:name="_ybskzvgdzm8j" w:id="3"/>
      <w:bookmarkEnd w:id="3"/>
      <w:r w:rsidDel="00000000" w:rsidR="00000000" w:rsidRPr="00000000">
        <w:rPr>
          <w:rFonts w:ascii="EB Garamond" w:cs="EB Garamond" w:eastAsia="EB Garamond" w:hAnsi="EB Garamond"/>
          <w:b w:val="1"/>
          <w:bCs w:val="1"/>
          <w:sz w:val="24"/>
          <w:szCs w:val="24"/>
          <w:rtl w:val="0"/>
        </w:rPr>
        <w:t xml:space="preserve">Εφαρμογή του πακέτου για τη Νομιμοποίηση Εσόδων από Εγκληματικές Δραστηριότητες - εθνικές εξελίξεις</w:t>
      </w:r>
    </w:p>
    <w:p w:rsidR="00000000" w:rsidDel="00000000" w:rsidP="00000000" w:rsidRDefault="00000000" w:rsidRPr="00000000" w14:paraId="0000000A">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Η επιτροπή συμφώνησε να συνεχίσει την παρακολούθηση των εθνικών νόμων που εφαρμόζουν το πακέτο, όπως σχετικά με την εποπτεία των αυτορρυθμιζόμενων οργανισμών που λειτουργούν ως εποπτικοί φορείς. Πραγματοποιήθηκε σύντομη συζήτηση σχετικά με την ενδεχόμενη προετοιμασία βέλτιστων πρακτικών που θα χρησιμοποιηθούν από τους δικηγορικούς συλλόγους κατά τη φάση εφαρμογής και η επιτροπή θα επανέλθει σε αυτό το θέμα κατά την επόμενη συνεδρίαση.</w:t>
      </w:r>
    </w:p>
    <w:p w:rsidR="00000000" w:rsidDel="00000000" w:rsidP="00000000" w:rsidRDefault="00000000" w:rsidRPr="00000000" w14:paraId="0000000B">
      <w:pPr>
        <w:pStyle w:val="Heading2"/>
        <w:keepNext w:val="0"/>
        <w:keepLines w:val="0"/>
        <w:spacing w:after="80" w:lineRule="auto"/>
        <w:rPr>
          <w:rFonts w:ascii="EB Garamond" w:cs="EB Garamond" w:eastAsia="EB Garamond" w:hAnsi="EB Garamond"/>
          <w:b w:val="1"/>
          <w:bCs w:val="1"/>
          <w:sz w:val="24"/>
          <w:szCs w:val="24"/>
        </w:rPr>
      </w:pPr>
      <w:bookmarkStart w:colFirst="0" w:colLast="0" w:name="_bbji1hq5x5cr" w:id="4"/>
      <w:bookmarkEnd w:id="4"/>
      <w:r w:rsidDel="00000000" w:rsidR="00000000" w:rsidRPr="00000000">
        <w:rPr>
          <w:rFonts w:ascii="EB Garamond" w:cs="EB Garamond" w:eastAsia="EB Garamond" w:hAnsi="EB Garamond"/>
          <w:b w:val="1"/>
          <w:bCs w:val="1"/>
          <w:sz w:val="24"/>
          <w:szCs w:val="24"/>
          <w:rtl w:val="0"/>
        </w:rPr>
        <w:t xml:space="preserve">Ενημέρωση για τη Νομιμοποίηση Εσόδων από Εγκληματικές Δραστηριότητες</w:t>
      </w:r>
    </w:p>
    <w:p w:rsidR="00000000" w:rsidDel="00000000" w:rsidP="00000000" w:rsidRDefault="00000000" w:rsidRPr="00000000" w14:paraId="0000000C">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Ζητήθηκε ευγενικά από τους συναδέλφους να μοιραστούν οποιεσδήποτε ενδιαφέρουσες δημοσιεύσεις που θα μπορούσαν να κυκλοφορήσουν μέσω της ενημέρωσης για τη Νομιμοποίηση Εσόδων από Εγκληματικές Δραστηριότητες.</w:t>
      </w:r>
    </w:p>
    <w:p w:rsidR="00000000" w:rsidDel="00000000" w:rsidP="00000000" w:rsidRDefault="00000000" w:rsidRPr="00000000" w14:paraId="0000000D">
      <w:pPr>
        <w:pStyle w:val="Heading2"/>
        <w:keepNext w:val="0"/>
        <w:keepLines w:val="0"/>
        <w:spacing w:after="80" w:lineRule="auto"/>
        <w:rPr>
          <w:rFonts w:ascii="EB Garamond" w:cs="EB Garamond" w:eastAsia="EB Garamond" w:hAnsi="EB Garamond"/>
          <w:b w:val="1"/>
          <w:bCs w:val="1"/>
          <w:sz w:val="24"/>
          <w:szCs w:val="24"/>
        </w:rPr>
      </w:pPr>
      <w:bookmarkStart w:colFirst="0" w:colLast="0" w:name="_13as6nkfhn1k" w:id="5"/>
      <w:bookmarkEnd w:id="5"/>
      <w:r w:rsidDel="00000000" w:rsidR="00000000" w:rsidRPr="00000000">
        <w:rPr>
          <w:rFonts w:ascii="EB Garamond" w:cs="EB Garamond" w:eastAsia="EB Garamond" w:hAnsi="EB Garamond"/>
          <w:b w:val="1"/>
          <w:bCs w:val="1"/>
          <w:sz w:val="24"/>
          <w:szCs w:val="24"/>
          <w:rtl w:val="0"/>
        </w:rPr>
        <w:t xml:space="preserve">Επόμενες Συνεδριάσεις</w:t>
      </w:r>
    </w:p>
    <w:p w:rsidR="00000000" w:rsidDel="00000000" w:rsidP="00000000" w:rsidRDefault="00000000" w:rsidRPr="00000000" w14:paraId="0000000E">
      <w:pPr>
        <w:spacing w:after="240" w:befor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Θα οργανωθεί ειδική τηλεδιάσκεψη γύρω στις 2-4 Μαρτίου το πρωί (προς επιβεβαίωση) προκειμένου να συζητηθεί το σημείωμα για το Άρθρο 70 και τα σχόλια του CCBE στα κανονιστικά πρότυπα και μία απάντηση σε μία από τις τρέχουσες δημόσιες διαβουλεύσεις της AMLA. Οι υπόλοιπες συνεδριάσεις προγραμματίζονται ως εξής:</w:t>
      </w:r>
    </w:p>
    <w:tbl>
      <w:tblPr>
        <w:tblStyle w:val="Table1"/>
        <w:tblW w:w="7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5"/>
        <w:gridCol w:w="3365"/>
        <w:gridCol w:w="2240"/>
        <w:tblGridChange w:id="0">
          <w:tblGrid>
            <w:gridCol w:w="1625"/>
            <w:gridCol w:w="3365"/>
            <w:gridCol w:w="224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jc w:val="center"/>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Ημερομηνία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jc w:val="center"/>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Ώρα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jc w:val="center"/>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Τρόπος</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12 Μαΐου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11:30-13:30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διαδικτυακά</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21 Οκτωβρίου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11:00-15:00 (προς επιβεβαίωση)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Βρυξέλλες, υβριδική</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 Δεκεμβρίου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11:30-13:30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διαδικτυακά</w:t>
            </w:r>
          </w:p>
        </w:tc>
      </w:tr>
    </w:tbl>
    <w:p w:rsidR="00000000" w:rsidDel="00000000" w:rsidP="00000000" w:rsidRDefault="00000000" w:rsidRPr="00000000" w14:paraId="0000001B">
      <w:pPr>
        <w:rPr>
          <w:rFonts w:ascii="EB Garamond" w:cs="EB Garamond" w:eastAsia="EB Garamond" w:hAnsi="EB Garamon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