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>
          <w:rFonts w:ascii="Garamond" w:cs="Garamond" w:eastAsia="Garamond" w:hAnsi="Garamond"/>
          <w:b w:val="1"/>
          <w:bCs w:val="1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rtl w:val="0"/>
        </w:rPr>
        <w:t xml:space="preserve">Συμβούλιο Ευρωπαϊκών Δικηγορικών Συλλόγων/ CCBE/Council of Bars and Law Societies of Europe</w:t>
      </w:r>
    </w:p>
    <w:p w:rsidR="00000000" w:rsidDel="00000000" w:rsidP="00000000" w:rsidRDefault="00000000" w:rsidRPr="00000000" w14:paraId="00000002">
      <w:pPr>
        <w:spacing w:line="276" w:lineRule="auto"/>
        <w:rPr>
          <w:rFonts w:ascii="Garamond" w:cs="Garamond" w:eastAsia="Garamond" w:hAnsi="Garamond"/>
          <w:u w:val="single"/>
        </w:rPr>
      </w:pPr>
      <w:r w:rsidDel="00000000" w:rsidR="00000000" w:rsidRPr="00000000">
        <w:rPr>
          <w:rFonts w:ascii="Garamond" w:cs="Garamond" w:eastAsia="Garamond" w:hAnsi="Garamond"/>
          <w:u w:val="single"/>
          <w:rtl w:val="0"/>
        </w:rPr>
        <w:t xml:space="preserve">Πρακτικά Κοινής Συνεδρίασης  IT Committee και  Surveillance Working Group</w:t>
      </w:r>
    </w:p>
    <w:p w:rsidR="00000000" w:rsidDel="00000000" w:rsidP="00000000" w:rsidRDefault="00000000" w:rsidRPr="00000000" w14:paraId="00000003">
      <w:pPr>
        <w:spacing w:line="276" w:lineRule="auto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Ημερομηνία: Τετάρτη 11 Φεβρουαρίου 2026</w:t>
      </w:r>
    </w:p>
    <w:p w:rsidR="00000000" w:rsidDel="00000000" w:rsidP="00000000" w:rsidRDefault="00000000" w:rsidRPr="00000000" w14:paraId="00000004">
      <w:pPr>
        <w:spacing w:line="276" w:lineRule="auto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Τόπος: Βιέννη Αυστρίας/Microsoft Teams  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Garamond" w:cs="Garamond" w:eastAsia="Garamond" w:hAnsi="Garamond"/>
        </w:rPr>
      </w:pPr>
      <w:r w:rsidDel="00000000" w:rsidR="00000000" w:rsidRPr="00000000">
        <w:rPr>
          <w:rFonts w:ascii="Garamond" w:cs="Garamond" w:eastAsia="Garamond" w:hAnsi="Garamond"/>
          <w:rtl w:val="0"/>
        </w:rPr>
        <w:t xml:space="preserve">Ελληνική Αντιπροσωπεία - Παναγιώτης Περάκης, Αλέξης Αναγνωστάκης, Στάθης Μίχος, Ηλιάνα Κωστή, ΔΣΑ</w:t>
      </w:r>
    </w:p>
    <w:p w:rsidR="00000000" w:rsidDel="00000000" w:rsidP="00000000" w:rsidRDefault="00000000" w:rsidRPr="00000000" w14:paraId="00000006">
      <w:pPr>
        <w:spacing w:line="276" w:lineRule="auto"/>
        <w:rPr>
          <w:rFonts w:ascii="Garamond" w:cs="Garamond" w:eastAsia="Garamond" w:hAnsi="Garamond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sz w:val="22"/>
          <w:szCs w:val="22"/>
          <w:rtl w:val="0"/>
        </w:rPr>
        <w:t xml:space="preserve">                                      ----------------------------------</w:t>
      </w:r>
    </w:p>
    <w:p w:rsidR="00000000" w:rsidDel="00000000" w:rsidP="00000000" w:rsidRDefault="00000000" w:rsidRPr="00000000" w14:paraId="00000007">
      <w:pPr>
        <w:spacing w:line="276" w:lineRule="auto"/>
        <w:rPr>
          <w:rFonts w:ascii="Garamond" w:cs="Garamond" w:eastAsia="Garamond" w:hAnsi="Garamond"/>
          <w:b w:val="1"/>
          <w:bCs w:val="1"/>
          <w:sz w:val="22"/>
          <w:szCs w:val="22"/>
        </w:rPr>
      </w:pPr>
      <w:r w:rsidDel="00000000" w:rsidR="00000000" w:rsidRPr="00000000">
        <w:rPr>
          <w:rFonts w:ascii="Garamond" w:cs="Garamond" w:eastAsia="Garamond" w:hAnsi="Garamond"/>
          <w:b w:val="1"/>
          <w:bCs w:val="1"/>
          <w:sz w:val="22"/>
          <w:szCs w:val="22"/>
          <w:rtl w:val="0"/>
        </w:rPr>
        <w:t xml:space="preserve">Σύνοψη των πιο σημαντικών.</w:t>
      </w:r>
    </w:p>
    <w:p w:rsidR="00000000" w:rsidDel="00000000" w:rsidP="00000000" w:rsidRDefault="00000000" w:rsidRPr="00000000" w14:paraId="00000008">
      <w:pPr>
        <w:pStyle w:val="Heading1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1. Σύσταση Δικτύου Εμπειρογνωμόνων ΤΠ</w:t>
      </w:r>
    </w:p>
    <w:p w:rsidR="00000000" w:rsidDel="00000000" w:rsidP="00000000" w:rsidRDefault="00000000" w:rsidRPr="00000000" w14:paraId="00000009">
      <w:pPr>
        <w:spacing w:after="160" w:lineRule="auto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Η συνεδρίαση εξέτασε την πρωτοβουλία σύστασης δικτύου εμπειρογνωμόνων Τεχνολογίας Πληροφοριών (ΤΠ) που θα παρέχει εξειδικευμένη τεχνική υποστήριξη στις αρμόδιες επιτροπές. Η εν λόγω πρωτοβουλία έχει ως στόχο την ενίσχυση της τεχνογνωσίας των επιτροπών IT Committee και  Surveillance  σε αντικείμενα που απαιτούν υψηλό επίπεδο τεχνικής κατανόησης.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Οι αντιπροσωπίες καλούνται να ορίσουν εμπειρογνώμονες, σύμφωνα με τη διαδικασία που εφαρμόστηκε σε προγενέστερο στάδιο.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Οι οργανωτικές μεταβολές, συμπεριλαμβανομένης της επίσημης σύστασης του δικτύου, αναμένεται να ολοκληρωθούν εντός εξαμήνου.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Ο πρωταρχικός ρόλος του δικτύου είναι η παροχή εξειδικευμένης τεχνικής γνωμοδότησης, χωρίς να αναλαμβάνει ρόλο χάραξης πολιτικής.</w:t>
      </w:r>
    </w:p>
    <w:p w:rsidR="00000000" w:rsidDel="00000000" w:rsidP="00000000" w:rsidRDefault="00000000" w:rsidRPr="00000000" w14:paraId="0000000D">
      <w:pPr>
        <w:pStyle w:val="Heading1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2. Προστασία Δεδομένων στο Microsoft Outlook</w:t>
      </w:r>
    </w:p>
    <w:p w:rsidR="00000000" w:rsidDel="00000000" w:rsidP="00000000" w:rsidRDefault="00000000" w:rsidRPr="00000000" w14:paraId="0000000E">
      <w:pPr>
        <w:spacing w:after="160" w:lineRule="auto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Συζητήθηκαν εκτεταμένα τα ζητήματα που σχετίζονται με τον τρόπο διαχείρισης δεδομένων από το Microsoft Outlook, και ειδικότερα η πρακτική αναδρομολόγησης δεδομένων μέσω των διακομιστών της Microsoft (Microsoft servers), ακόμη και σε περιπτώσεις χρήσης υποδομής αλληλογραφίας εντός των εγκαταστάσεων (on-premise).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Έλαβε χώρα επικοινωνία </w:t>
      </w:r>
      <w:r w:rsidDel="00000000" w:rsidR="00000000" w:rsidRPr="00000000">
        <w:rPr>
          <w:rFonts w:ascii="EB Garamond" w:cs="EB Garamond" w:eastAsia="EB Garamond" w:hAnsi="EB Garamond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με την κεντρική ομάδα προστασίας δεδομένων της Microsoft, με αποτέλεσμα τη διεξαγωγή συνάντησης με τον κ. Chris Heideck στο Σιάτλ.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Κατά τη συνάντηση, ο κ. Heideck ενημερώθηκε για την πρακτική αναδρομολόγησης και αντιγραφής δεδομένων σε διακομιστές της Microsoft, ανεξαρτήτως χρήσης on-premise υποδομής.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Ο εκπρόσωπος της Microsoft δήλωσε άγνοια σχετικά με τη χρήση δεδομένων για εκπαίδευση μοντέλων ΤΝ, γεγονός που κινητοποίησε την έναρξη περαιτέρω έρευνας.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20" w:right="0" w:hanging="360"/>
        <w:jc w:val="left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Επισημάνθηκαν οι συμβατικές υποχρεώσεις της Ευρωπαϊκής Επιτροπής και του EDPS έναντι της Microsoft αναφορικά με την επεξεργασία δεδομένων, που ενδεχομένως να αποτελέσουν πρότυπο αναφοράς για τους δικηγόρους.</w:t>
      </w:r>
    </w:p>
    <w:p w:rsidR="00000000" w:rsidDel="00000000" w:rsidP="00000000" w:rsidRDefault="00000000" w:rsidRPr="00000000" w14:paraId="00000013">
      <w:pPr>
        <w:pStyle w:val="Heading1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3. Ψηφιακός Πανευρωπαϊκός Κανονισμός (Digital Omnibus) για την ΤΝ</w:t>
      </w:r>
    </w:p>
    <w:p w:rsidR="00000000" w:rsidDel="00000000" w:rsidP="00000000" w:rsidRDefault="00000000" w:rsidRPr="00000000" w14:paraId="00000014">
      <w:pPr>
        <w:spacing w:after="160" w:lineRule="auto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Αντικείμενο συζήτησης αποτέλεσε η ταχεία νομοθετική διαδικασία που διέπει το λεγόμενο «Digital Omnibus» αναφορικά με την Τεχνητή Νοημοσύνη, καθώς και οι βασικές τροποποιήσεις που προτείνονται.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Μεταξύ των προτεινόμενων αλλαγών περιλαμβάνεται η κατάργηση της υποχρέωσης καταχώρισης συστημάτων ΤΝ μη υψηλού κινδύνου σε δημόσια βάση δεδομένων.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Επίσης, προτείνεται η μετατόπιση της υποχρέωσης εγγραματισμού στην ΤΝ (AI literacy) από τους παρόχους προς τα κράτη μέλη και την Ευρωπαϊκή Επιτροπή.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Η Επιτροπή πρότεινε παράταση των προθεσμιών εφαρμογής του Κανονισμού ΤΝ κατά 6 έως 18 μήνες, χωρίς ωστόσο να τυχαίνει ευρείας αποδοχής, λόγω των αντιστάσεων για ορισμό συγκεκριμένης καταληκτικής ημερομηνίας.</w:t>
      </w:r>
    </w:p>
    <w:p w:rsidR="00000000" w:rsidDel="00000000" w:rsidP="00000000" w:rsidRDefault="00000000" w:rsidRPr="00000000" w14:paraId="00000018">
      <w:pPr>
        <w:pStyle w:val="Heading1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4. Τεχνικό Έγγραφο για τη Generative AI</w:t>
      </w:r>
    </w:p>
    <w:p w:rsidR="00000000" w:rsidDel="00000000" w:rsidP="00000000" w:rsidRDefault="00000000" w:rsidRPr="00000000" w14:paraId="00000019">
      <w:pPr>
        <w:spacing w:after="160" w:lineRule="auto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Παρουσιάστηκε σχέδιο τεχνικού εγγράφου αναφορικά με τις τεχνικές πτυχές της </w:t>
      </w:r>
      <w:r w:rsidDel="00000000" w:rsidR="00000000" w:rsidRPr="00000000">
        <w:rPr>
          <w:rFonts w:ascii="EB Garamond" w:cs="EB Garamond" w:eastAsia="EB Garamond" w:hAnsi="EB Garamond"/>
          <w:b w:val="1"/>
          <w:bCs w:val="1"/>
          <w:color w:val="1f3864"/>
          <w:sz w:val="22"/>
          <w:szCs w:val="22"/>
          <w:rtl w:val="0"/>
        </w:rPr>
        <w:t xml:space="preserve">Generative AI</w:t>
      </w: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, με σκοπό να εξοπλίσει τους δικηγόρους με πρακτικά εργαλεία αξιολόγησης και αξιοποίησης των σχετικών εργαλείων.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Το έγγραφο παρέχει τεχνικές πληροφορίες που επιτρέπουν στους νομικούς να αξιολογούν τη συμμόρφωση προϊόντων ΤΝ με τις ισχύουσες κατευθυντήριες γραμμές.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Κατηγοριοποιεί και αναλύει τις διαφορές μεταξύ των διαφόρων δομών συστημάτων ΤΝ που κυκλοφορούν στην αγορά.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Ιδιαίτερη έμφαση δόθηκε στη δυνατότητα και στη σχέση κόστους-αποδοτικότητας της φιλοξενίας τοπικών μοντέλων ΤΝ (local AI models) για την εξασφάλιση ενισχυμένου ελέγχου και εμπιστευτικότητας.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20" w:right="0" w:hanging="360"/>
        <w:jc w:val="left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Συζητήθηκαν πρακτικά παραδείγματα χρήσης τοπικής ΤΝ, όπως η μετατροπή ήχου σε κείμενο (audio-to-text) και η ανάλυση εγγράφων, αναδεικνύοντας τα πλεονεκτήματά τους ως προς την εμπιστευτικότητα.</w:t>
      </w:r>
    </w:p>
    <w:p w:rsidR="00000000" w:rsidDel="00000000" w:rsidP="00000000" w:rsidRDefault="00000000" w:rsidRPr="00000000" w14:paraId="0000001E">
      <w:pPr>
        <w:pStyle w:val="Heading1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5. Ηλεκτρονικά Αποδεικτικά Μέσα (e-Evidence) και Κανονισμός CSA</w:t>
      </w:r>
    </w:p>
    <w:p w:rsidR="00000000" w:rsidDel="00000000" w:rsidP="00000000" w:rsidRDefault="00000000" w:rsidRPr="00000000" w14:paraId="0000001F">
      <w:pPr>
        <w:spacing w:after="160" w:lineRule="auto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sz w:val="22"/>
          <w:szCs w:val="22"/>
          <w:rtl w:val="0"/>
        </w:rPr>
        <w:t xml:space="preserve">Ενημερώθηκαν τα μέλη για την πορεία εφαρμογής του ευρωπαϊκού νομοθετικού πακέτου ηλεκτρονικών αποδεικτικών μέσων καθώς και για τις εξελίξεις αναφορικά με τον Κανονισμό CSA.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Η Ιταλία υλοποίησε το ευρωπαϊκό πακέτο e-evidence μέσω των νομοθετικών διαταγμάτων 215 και 216 του 2023, που τέθηκαν σε ισχύ στις 30 Ιανουαρίου.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Η ιταλική νομοθεσία ορίζει τις αρμόδιες αρχές και τις διαδικασίες έκδοσης, διαβίβασης και αναθεώρησης εντολών παραγωγής και διατήρησης αποδεικτικών μέσων.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40" w:lineRule="auto"/>
        <w:ind w:left="720" w:right="0" w:hanging="360"/>
        <w:jc w:val="left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Η προσωρινή παρέκκλιση του Κανονισμού CSA λήγει τον Απρίλιο, ενώ οι νομοθετικές διαδικασίες και οι διαπραγματεύσεις τριλόγου βρίσκονται εν εξελίξει.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0" w:before="0" w:line="240" w:lineRule="auto"/>
        <w:ind w:left="720" w:right="0" w:hanging="360"/>
        <w:jc w:val="left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Fonts w:ascii="EB Garamond" w:cs="EB Garamond" w:eastAsia="EB Garamond" w:hAnsi="EB Garamond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Εκφράστηκαν ανησυχίες σχετικά με τον τρόπο με τον οποίο η αξιολόγηση κινδύνου βάσει του Κανονισμού CSA ενδέχεται να έρχεται σε αντίθεση με την προστασία της κρυπτογράφησης από άκρο σε άκρο (end-to-end encryption).</w:t>
      </w:r>
    </w:p>
    <w:p w:rsidR="00000000" w:rsidDel="00000000" w:rsidP="00000000" w:rsidRDefault="00000000" w:rsidRPr="00000000" w14:paraId="00000024">
      <w:pPr>
        <w:pBdr>
          <w:top w:color="cccccc" w:space="1" w:sz="4" w:val="single"/>
        </w:pBdr>
        <w:spacing w:before="200" w:lineRule="auto"/>
        <w:rPr>
          <w:rFonts w:ascii="EB Garamond" w:cs="EB Garamond" w:eastAsia="EB Garamond" w:hAnsi="EB Garamond"/>
          <w:sz w:val="22"/>
          <w:szCs w:val="22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•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320" w:line="240" w:lineRule="auto"/>
      <w:ind w:left="0" w:right="0" w:firstLine="0"/>
      <w:jc w:val="left"/>
    </w:pPr>
    <w:rPr>
      <w:rFonts w:ascii="Arial" w:cs="Arial" w:eastAsia="Arial" w:hAnsi="Arial"/>
      <w:b w:val="1"/>
      <w:bCs w:val="1"/>
      <w:i w:val="0"/>
      <w:iCs w:val="0"/>
      <w:smallCaps w:val="0"/>
      <w:strike w:val="0"/>
      <w:color w:val="1f3864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</w:pPr>
    <w:rPr>
      <w:rFonts w:ascii="Arial" w:cs="Arial" w:eastAsia="Arial" w:hAnsi="Arial"/>
      <w:b w:val="1"/>
      <w:bCs w:val="1"/>
      <w:i w:val="0"/>
      <w:iCs w:val="0"/>
      <w:smallCaps w:val="0"/>
      <w:strike w:val="0"/>
      <w:color w:val="2e5496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1f4d78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1"/>
      <w:iCs w:val="1"/>
      <w:smallCaps w:val="0"/>
      <w:strike w:val="0"/>
      <w:color w:val="2e74b5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2e74b5"/>
      <w:sz w:val="24"/>
      <w:szCs w:val="24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1f4d78"/>
      <w:sz w:val="24"/>
      <w:szCs w:val="24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</w:pPr>
    <w:rPr>
      <w:rFonts w:ascii="Arial" w:cs="Arial" w:eastAsia="Arial" w:hAnsi="Arial"/>
      <w:b w:val="0"/>
      <w:bCs w:val="0"/>
      <w:i w:val="0"/>
      <w:iCs w:val="0"/>
      <w:smallCaps w:val="0"/>
      <w:strike w:val="0"/>
      <w:color w:val="000000"/>
      <w:sz w:val="56"/>
      <w:szCs w:val="56"/>
      <w:u w:val="none"/>
      <w:shd w:fill="auto" w:val="clear"/>
      <w:vertAlign w:val="baseline"/>
    </w:rPr>
  </w:style>
  <w:style w:type="paragraph" w:styleId="Strong">
    <w:name w:val="Strong"/>
    <w:basedOn w:val="Normal"/>
    <w:next w:val="Normal"/>
    <w:qFormat w:val="1"/>
    <w:rPr>
      <w:b w:val="1"/>
      <w:bCs w:val="1"/>
    </w:rPr>
  </w:style>
  <w:style w:type="paragraph" w:styleId="ListParagraph">
    <w:name w:val="List Paragraph"/>
    <w:basedOn w:val="Normal"/>
    <w:qFormat w:val="1"/>
  </w:style>
  <w:style w:type="character" w:styleId="Hyperlink">
    <w:name w:val="Hyperlink"/>
    <w:basedOn w:val="DefaultParagraphFont"/>
    <w:uiPriority w:val="99"/>
    <w:unhideWhenUsed w:val="1"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 w:val="1"/>
    <w:unhideWhenUsed w:val="1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GLDn/E7BNGt4I6/qLm7DytI+VQ==">CgMxLjA4AHIhMU5HdzhjWEdiTUMyNUdDV3dSbl9mVE9feEYyQW9JQjA4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2026-02-18T10:23:31.258Z</dcterms:created>
  <dc:creator>Un-named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