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C92D" w14:textId="77777777" w:rsidR="00411D91" w:rsidRPr="004F677A" w:rsidRDefault="00411D91" w:rsidP="00411D91">
      <w:pPr>
        <w:rPr>
          <w:rFonts w:ascii="Times New Roman" w:hAnsi="Times New Roman" w:cs="Times New Roman"/>
          <w:b/>
          <w:sz w:val="24"/>
          <w:szCs w:val="24"/>
          <w:u w:val="single"/>
        </w:rPr>
      </w:pPr>
      <w:r w:rsidRPr="004F677A">
        <w:rPr>
          <w:rFonts w:ascii="Times New Roman" w:hAnsi="Times New Roman" w:cs="Times New Roman"/>
          <w:b/>
          <w:sz w:val="24"/>
          <w:szCs w:val="24"/>
          <w:u w:val="single"/>
        </w:rPr>
        <w:t xml:space="preserve">Συνεδρίαση Επιτροπής για το Μέλλον του Δικηγορικού Επαγγέλματος και των Νομικών Υπηρεσιών (Βιέννη 27.2.2019) </w:t>
      </w:r>
    </w:p>
    <w:p w14:paraId="4F9B8B94" w14:textId="77777777" w:rsidR="00411D91" w:rsidRPr="004F677A" w:rsidRDefault="00411D91" w:rsidP="00411D91">
      <w:pPr>
        <w:rPr>
          <w:rFonts w:ascii="Times New Roman" w:hAnsi="Times New Roman" w:cs="Times New Roman"/>
          <w:b/>
          <w:sz w:val="24"/>
          <w:szCs w:val="24"/>
          <w:u w:val="single"/>
        </w:rPr>
      </w:pPr>
      <w:r w:rsidRPr="004F677A">
        <w:rPr>
          <w:rFonts w:ascii="Times New Roman" w:hAnsi="Times New Roman" w:cs="Times New Roman"/>
          <w:b/>
          <w:sz w:val="24"/>
          <w:szCs w:val="24"/>
          <w:u w:val="single"/>
        </w:rPr>
        <w:t xml:space="preserve">Συμμετέχοντες: Παναγιώτης </w:t>
      </w:r>
      <w:proofErr w:type="spellStart"/>
      <w:r w:rsidRPr="004F677A">
        <w:rPr>
          <w:rFonts w:ascii="Times New Roman" w:hAnsi="Times New Roman" w:cs="Times New Roman"/>
          <w:b/>
          <w:sz w:val="24"/>
          <w:szCs w:val="24"/>
          <w:u w:val="single"/>
        </w:rPr>
        <w:t>Περάκης</w:t>
      </w:r>
      <w:proofErr w:type="spellEnd"/>
      <w:r w:rsidRPr="004F677A">
        <w:rPr>
          <w:rFonts w:ascii="Times New Roman" w:hAnsi="Times New Roman" w:cs="Times New Roman"/>
          <w:b/>
          <w:sz w:val="24"/>
          <w:szCs w:val="24"/>
          <w:u w:val="single"/>
        </w:rPr>
        <w:t xml:space="preserve">, Νικόλαος Β. </w:t>
      </w:r>
      <w:proofErr w:type="spellStart"/>
      <w:r w:rsidRPr="004F677A">
        <w:rPr>
          <w:rFonts w:ascii="Times New Roman" w:hAnsi="Times New Roman" w:cs="Times New Roman"/>
          <w:b/>
          <w:sz w:val="24"/>
          <w:szCs w:val="24"/>
          <w:u w:val="single"/>
        </w:rPr>
        <w:t>Κουτκιάς</w:t>
      </w:r>
      <w:proofErr w:type="spellEnd"/>
      <w:r w:rsidRPr="004F677A">
        <w:rPr>
          <w:rFonts w:ascii="Times New Roman" w:hAnsi="Times New Roman" w:cs="Times New Roman"/>
          <w:b/>
          <w:sz w:val="24"/>
          <w:szCs w:val="24"/>
          <w:u w:val="single"/>
        </w:rPr>
        <w:t xml:space="preserve"> (Ελληνική Αντιπροσωπεία/Δ.Σ.Α)</w:t>
      </w:r>
    </w:p>
    <w:p w14:paraId="1D468A81" w14:textId="77777777" w:rsidR="00411D91" w:rsidRPr="004F677A" w:rsidRDefault="00411D91" w:rsidP="00411D91">
      <w:pPr>
        <w:jc w:val="center"/>
        <w:rPr>
          <w:rFonts w:ascii="Times New Roman" w:hAnsi="Times New Roman" w:cs="Times New Roman"/>
          <w:b/>
          <w:sz w:val="24"/>
          <w:szCs w:val="24"/>
        </w:rPr>
      </w:pPr>
      <w:r w:rsidRPr="004F677A">
        <w:rPr>
          <w:rFonts w:ascii="Times New Roman" w:hAnsi="Times New Roman" w:cs="Times New Roman"/>
          <w:b/>
          <w:sz w:val="24"/>
          <w:szCs w:val="24"/>
        </w:rPr>
        <w:t>…….....................................................................................</w:t>
      </w:r>
    </w:p>
    <w:p w14:paraId="363C3342" w14:textId="77777777" w:rsidR="004F677A" w:rsidRPr="004F677A" w:rsidRDefault="004F677A" w:rsidP="004F677A">
      <w:pPr>
        <w:jc w:val="both"/>
        <w:rPr>
          <w:rFonts w:ascii="Times New Roman" w:hAnsi="Times New Roman" w:cs="Times New Roman"/>
          <w:sz w:val="24"/>
          <w:szCs w:val="24"/>
        </w:rPr>
      </w:pPr>
      <w:r w:rsidRPr="004F677A">
        <w:rPr>
          <w:rFonts w:ascii="Times New Roman" w:hAnsi="Times New Roman" w:cs="Times New Roman"/>
          <w:sz w:val="24"/>
          <w:szCs w:val="24"/>
        </w:rPr>
        <w:t>Συνεδρίασε στ</w:t>
      </w:r>
      <w:r>
        <w:rPr>
          <w:rFonts w:ascii="Times New Roman" w:hAnsi="Times New Roman" w:cs="Times New Roman"/>
          <w:sz w:val="24"/>
          <w:szCs w:val="24"/>
        </w:rPr>
        <w:t>η Βιέννη την Τετάρτη 27.2.2019</w:t>
      </w:r>
      <w:r w:rsidRPr="004F677A">
        <w:rPr>
          <w:rFonts w:ascii="Times New Roman" w:hAnsi="Times New Roman" w:cs="Times New Roman"/>
          <w:sz w:val="24"/>
          <w:szCs w:val="24"/>
        </w:rPr>
        <w:t xml:space="preserve"> η Επιτροπή </w:t>
      </w:r>
      <w:r w:rsidR="00232950">
        <w:rPr>
          <w:rFonts w:ascii="Times New Roman" w:hAnsi="Times New Roman" w:cs="Times New Roman"/>
          <w:sz w:val="24"/>
          <w:szCs w:val="24"/>
        </w:rPr>
        <w:t xml:space="preserve">του </w:t>
      </w:r>
      <w:r w:rsidR="00232950">
        <w:rPr>
          <w:rFonts w:ascii="Times New Roman" w:hAnsi="Times New Roman" w:cs="Times New Roman"/>
          <w:sz w:val="24"/>
          <w:szCs w:val="24"/>
          <w:lang w:val="en-US"/>
        </w:rPr>
        <w:t>CCBE</w:t>
      </w:r>
      <w:r w:rsidR="00232950" w:rsidRPr="00232950">
        <w:rPr>
          <w:rFonts w:ascii="Times New Roman" w:hAnsi="Times New Roman" w:cs="Times New Roman"/>
          <w:sz w:val="24"/>
          <w:szCs w:val="24"/>
        </w:rPr>
        <w:t xml:space="preserve"> </w:t>
      </w:r>
      <w:r w:rsidRPr="004F677A">
        <w:rPr>
          <w:rFonts w:ascii="Times New Roman" w:hAnsi="Times New Roman" w:cs="Times New Roman"/>
          <w:sz w:val="24"/>
          <w:szCs w:val="24"/>
        </w:rPr>
        <w:t>για το Μέλλον του Δικηγορικού Επαγγέλματος και των Νομικών Υπηρεσιών (</w:t>
      </w:r>
      <w:r w:rsidRPr="004F677A">
        <w:rPr>
          <w:rFonts w:ascii="Times New Roman" w:hAnsi="Times New Roman" w:cs="Times New Roman"/>
          <w:sz w:val="24"/>
          <w:szCs w:val="24"/>
          <w:lang w:val="en-US"/>
        </w:rPr>
        <w:t>Future</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of</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the</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Legal</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Profession</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and</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Legal</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Services</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Committee</w:t>
      </w:r>
      <w:r w:rsidRPr="004F677A">
        <w:rPr>
          <w:rFonts w:ascii="Times New Roman" w:hAnsi="Times New Roman" w:cs="Times New Roman"/>
          <w:sz w:val="24"/>
          <w:szCs w:val="24"/>
        </w:rPr>
        <w:t xml:space="preserve">). Στη συνεδρίαση από ελληνικής πλευράς συμμετείχε ο Παναγιώτης </w:t>
      </w:r>
      <w:proofErr w:type="spellStart"/>
      <w:r w:rsidRPr="004F677A">
        <w:rPr>
          <w:rFonts w:ascii="Times New Roman" w:hAnsi="Times New Roman" w:cs="Times New Roman"/>
          <w:sz w:val="24"/>
          <w:szCs w:val="24"/>
        </w:rPr>
        <w:t>Περάκης</w:t>
      </w:r>
      <w:proofErr w:type="spellEnd"/>
      <w:r>
        <w:rPr>
          <w:rFonts w:ascii="Times New Roman" w:hAnsi="Times New Roman" w:cs="Times New Roman"/>
          <w:sz w:val="24"/>
          <w:szCs w:val="24"/>
        </w:rPr>
        <w:t xml:space="preserve"> και ο Νικόλαος </w:t>
      </w:r>
      <w:proofErr w:type="spellStart"/>
      <w:r>
        <w:rPr>
          <w:rFonts w:ascii="Times New Roman" w:hAnsi="Times New Roman" w:cs="Times New Roman"/>
          <w:sz w:val="24"/>
          <w:szCs w:val="24"/>
        </w:rPr>
        <w:t>Κουτκιάς</w:t>
      </w:r>
      <w:proofErr w:type="spellEnd"/>
      <w:r w:rsidRPr="004F677A">
        <w:rPr>
          <w:rFonts w:ascii="Times New Roman" w:hAnsi="Times New Roman" w:cs="Times New Roman"/>
          <w:sz w:val="24"/>
          <w:szCs w:val="24"/>
        </w:rPr>
        <w:t>, μέλ</w:t>
      </w:r>
      <w:r>
        <w:rPr>
          <w:rFonts w:ascii="Times New Roman" w:hAnsi="Times New Roman" w:cs="Times New Roman"/>
          <w:sz w:val="24"/>
          <w:szCs w:val="24"/>
        </w:rPr>
        <w:t>η</w:t>
      </w:r>
      <w:r w:rsidRPr="004F677A">
        <w:rPr>
          <w:rFonts w:ascii="Times New Roman" w:hAnsi="Times New Roman" w:cs="Times New Roman"/>
          <w:sz w:val="24"/>
          <w:szCs w:val="24"/>
        </w:rPr>
        <w:t xml:space="preserve"> της Ελληνικής Αντιπροσωπείας (ΔΣΑ)</w:t>
      </w:r>
      <w:r>
        <w:rPr>
          <w:rFonts w:ascii="Times New Roman" w:hAnsi="Times New Roman" w:cs="Times New Roman"/>
          <w:sz w:val="24"/>
          <w:szCs w:val="24"/>
        </w:rPr>
        <w:t>.</w:t>
      </w:r>
    </w:p>
    <w:p w14:paraId="3E872DE3" w14:textId="77777777" w:rsidR="004F677A" w:rsidRPr="004F677A" w:rsidRDefault="004F677A" w:rsidP="004F677A">
      <w:pPr>
        <w:jc w:val="both"/>
        <w:rPr>
          <w:rFonts w:ascii="Times New Roman" w:hAnsi="Times New Roman" w:cs="Times New Roman"/>
          <w:sz w:val="24"/>
          <w:szCs w:val="24"/>
        </w:rPr>
      </w:pPr>
      <w:r w:rsidRPr="004F677A">
        <w:rPr>
          <w:rFonts w:ascii="Times New Roman" w:hAnsi="Times New Roman" w:cs="Times New Roman"/>
          <w:sz w:val="24"/>
          <w:szCs w:val="24"/>
        </w:rPr>
        <w:t>Τα σπουδαιότερα σημεία της συνεδρίασης ήταν τα ακόλουθα:</w:t>
      </w:r>
    </w:p>
    <w:p w14:paraId="62F83F2B" w14:textId="77777777" w:rsidR="0005513D" w:rsidRPr="0005513D" w:rsidRDefault="004F677A" w:rsidP="0005513D">
      <w:pPr>
        <w:jc w:val="both"/>
        <w:rPr>
          <w:rFonts w:ascii="Times New Roman" w:hAnsi="Times New Roman" w:cs="Times New Roman"/>
          <w:b/>
          <w:sz w:val="24"/>
          <w:szCs w:val="24"/>
        </w:rPr>
      </w:pPr>
      <w:r w:rsidRPr="0005513D">
        <w:rPr>
          <w:rFonts w:ascii="Times New Roman" w:hAnsi="Times New Roman" w:cs="Times New Roman"/>
          <w:b/>
          <w:sz w:val="24"/>
          <w:szCs w:val="24"/>
        </w:rPr>
        <w:t xml:space="preserve">1. </w:t>
      </w:r>
      <w:r w:rsidR="0005513D">
        <w:rPr>
          <w:rFonts w:ascii="Times New Roman" w:hAnsi="Times New Roman" w:cs="Times New Roman"/>
          <w:b/>
          <w:sz w:val="24"/>
          <w:szCs w:val="24"/>
        </w:rPr>
        <w:t>Απολογισμός/αξιολόγηση</w:t>
      </w:r>
      <w:r w:rsidR="0005513D" w:rsidRPr="0005513D">
        <w:rPr>
          <w:rFonts w:ascii="Times New Roman" w:hAnsi="Times New Roman" w:cs="Times New Roman"/>
          <w:b/>
          <w:sz w:val="24"/>
          <w:szCs w:val="24"/>
        </w:rPr>
        <w:t xml:space="preserve"> </w:t>
      </w:r>
      <w:r w:rsidR="0005513D">
        <w:rPr>
          <w:rFonts w:ascii="Times New Roman" w:hAnsi="Times New Roman" w:cs="Times New Roman"/>
          <w:b/>
          <w:sz w:val="24"/>
          <w:szCs w:val="24"/>
        </w:rPr>
        <w:t>από</w:t>
      </w:r>
      <w:r w:rsidR="0005513D" w:rsidRPr="0005513D">
        <w:rPr>
          <w:rFonts w:ascii="Times New Roman" w:hAnsi="Times New Roman" w:cs="Times New Roman"/>
          <w:b/>
          <w:sz w:val="24"/>
          <w:szCs w:val="24"/>
        </w:rPr>
        <w:t xml:space="preserve"> </w:t>
      </w:r>
      <w:r w:rsidR="0005513D">
        <w:rPr>
          <w:rFonts w:ascii="Times New Roman" w:hAnsi="Times New Roman" w:cs="Times New Roman"/>
          <w:b/>
          <w:sz w:val="24"/>
          <w:szCs w:val="24"/>
        </w:rPr>
        <w:t>τη</w:t>
      </w:r>
      <w:r w:rsidR="0005513D" w:rsidRPr="0005513D">
        <w:rPr>
          <w:rFonts w:ascii="Times New Roman" w:hAnsi="Times New Roman" w:cs="Times New Roman"/>
          <w:b/>
          <w:sz w:val="24"/>
          <w:szCs w:val="24"/>
        </w:rPr>
        <w:t xml:space="preserve"> </w:t>
      </w:r>
      <w:r w:rsidR="0005513D">
        <w:rPr>
          <w:rFonts w:ascii="Times New Roman" w:hAnsi="Times New Roman" w:cs="Times New Roman"/>
          <w:b/>
          <w:sz w:val="24"/>
          <w:szCs w:val="24"/>
        </w:rPr>
        <w:t xml:space="preserve">διεξαγωγή στη </w:t>
      </w:r>
      <w:r w:rsidR="0005513D" w:rsidRPr="0005513D">
        <w:rPr>
          <w:rFonts w:ascii="Times New Roman" w:hAnsi="Times New Roman" w:cs="Times New Roman"/>
          <w:b/>
          <w:sz w:val="24"/>
          <w:szCs w:val="24"/>
          <w:lang w:val="en-US"/>
        </w:rPr>
        <w:t>Lille</w:t>
      </w:r>
      <w:r w:rsidR="0005513D" w:rsidRPr="0005513D">
        <w:rPr>
          <w:rFonts w:ascii="Times New Roman" w:hAnsi="Times New Roman" w:cs="Times New Roman"/>
          <w:b/>
          <w:sz w:val="24"/>
          <w:szCs w:val="24"/>
        </w:rPr>
        <w:t xml:space="preserve">, </w:t>
      </w:r>
      <w:r w:rsidR="0005513D">
        <w:rPr>
          <w:rFonts w:ascii="Times New Roman" w:hAnsi="Times New Roman" w:cs="Times New Roman"/>
          <w:b/>
          <w:sz w:val="24"/>
          <w:szCs w:val="24"/>
        </w:rPr>
        <w:t xml:space="preserve">την </w:t>
      </w:r>
      <w:r w:rsidR="0005513D" w:rsidRPr="0005513D">
        <w:rPr>
          <w:rFonts w:ascii="Times New Roman" w:hAnsi="Times New Roman" w:cs="Times New Roman"/>
          <w:b/>
          <w:sz w:val="24"/>
          <w:szCs w:val="24"/>
        </w:rPr>
        <w:t>30.11.2018</w:t>
      </w:r>
      <w:r w:rsidR="0005513D">
        <w:rPr>
          <w:rFonts w:ascii="Times New Roman" w:hAnsi="Times New Roman" w:cs="Times New Roman"/>
          <w:b/>
          <w:sz w:val="24"/>
          <w:szCs w:val="24"/>
        </w:rPr>
        <w:t>,</w:t>
      </w:r>
      <w:r w:rsidR="0005513D" w:rsidRPr="0005513D">
        <w:rPr>
          <w:rFonts w:ascii="Times New Roman" w:hAnsi="Times New Roman" w:cs="Times New Roman"/>
          <w:b/>
          <w:sz w:val="24"/>
          <w:szCs w:val="24"/>
        </w:rPr>
        <w:t xml:space="preserve"> </w:t>
      </w:r>
      <w:r w:rsidR="0005513D">
        <w:rPr>
          <w:rFonts w:ascii="Times New Roman" w:hAnsi="Times New Roman" w:cs="Times New Roman"/>
          <w:b/>
          <w:sz w:val="24"/>
          <w:szCs w:val="24"/>
        </w:rPr>
        <w:t>του</w:t>
      </w:r>
      <w:r w:rsidR="0005513D" w:rsidRPr="0005513D">
        <w:rPr>
          <w:rFonts w:ascii="Times New Roman" w:hAnsi="Times New Roman" w:cs="Times New Roman"/>
          <w:b/>
          <w:sz w:val="24"/>
          <w:szCs w:val="24"/>
        </w:rPr>
        <w:t xml:space="preserve"> </w:t>
      </w:r>
      <w:r w:rsidR="0005513D">
        <w:rPr>
          <w:rFonts w:ascii="Times New Roman" w:hAnsi="Times New Roman" w:cs="Times New Roman"/>
          <w:b/>
          <w:sz w:val="24"/>
          <w:szCs w:val="24"/>
        </w:rPr>
        <w:t>σ</w:t>
      </w:r>
      <w:r w:rsidR="0005513D" w:rsidRPr="0005513D">
        <w:rPr>
          <w:rFonts w:ascii="Times New Roman" w:hAnsi="Times New Roman" w:cs="Times New Roman"/>
          <w:b/>
          <w:sz w:val="24"/>
          <w:szCs w:val="24"/>
        </w:rPr>
        <w:t>υν</w:t>
      </w:r>
      <w:r w:rsidR="0005513D">
        <w:rPr>
          <w:rFonts w:ascii="Times New Roman" w:hAnsi="Times New Roman" w:cs="Times New Roman"/>
          <w:b/>
          <w:sz w:val="24"/>
          <w:szCs w:val="24"/>
        </w:rPr>
        <w:t>εδρίου</w:t>
      </w:r>
      <w:r w:rsidR="0005513D" w:rsidRPr="0005513D">
        <w:rPr>
          <w:rFonts w:ascii="Times New Roman" w:hAnsi="Times New Roman" w:cs="Times New Roman"/>
          <w:b/>
          <w:sz w:val="24"/>
          <w:szCs w:val="24"/>
        </w:rPr>
        <w:t xml:space="preserve"> “</w:t>
      </w:r>
      <w:r w:rsidR="0005513D" w:rsidRPr="0005513D">
        <w:rPr>
          <w:rFonts w:ascii="Times New Roman" w:hAnsi="Times New Roman" w:cs="Times New Roman"/>
          <w:b/>
          <w:sz w:val="24"/>
          <w:szCs w:val="24"/>
          <w:lang w:val="en-US"/>
        </w:rPr>
        <w:t>Artificial</w:t>
      </w:r>
      <w:r w:rsidR="0005513D" w:rsidRPr="0005513D">
        <w:rPr>
          <w:rFonts w:ascii="Times New Roman" w:hAnsi="Times New Roman" w:cs="Times New Roman"/>
          <w:b/>
          <w:sz w:val="24"/>
          <w:szCs w:val="24"/>
        </w:rPr>
        <w:t xml:space="preserve"> </w:t>
      </w:r>
      <w:r w:rsidR="0005513D" w:rsidRPr="0005513D">
        <w:rPr>
          <w:rFonts w:ascii="Times New Roman" w:hAnsi="Times New Roman" w:cs="Times New Roman"/>
          <w:b/>
          <w:sz w:val="24"/>
          <w:szCs w:val="24"/>
          <w:lang w:val="en-US"/>
        </w:rPr>
        <w:t>Intelligence</w:t>
      </w:r>
      <w:r w:rsidR="0005513D" w:rsidRPr="0005513D">
        <w:rPr>
          <w:rFonts w:ascii="Times New Roman" w:hAnsi="Times New Roman" w:cs="Times New Roman"/>
          <w:b/>
          <w:sz w:val="24"/>
          <w:szCs w:val="24"/>
        </w:rPr>
        <w:t xml:space="preserve"> – </w:t>
      </w:r>
      <w:r w:rsidR="0005513D" w:rsidRPr="0005513D">
        <w:rPr>
          <w:rFonts w:ascii="Times New Roman" w:hAnsi="Times New Roman" w:cs="Times New Roman"/>
          <w:b/>
          <w:sz w:val="24"/>
          <w:szCs w:val="24"/>
          <w:lang w:val="en-US"/>
        </w:rPr>
        <w:t>Human</w:t>
      </w:r>
      <w:r w:rsidR="0005513D" w:rsidRPr="0005513D">
        <w:rPr>
          <w:rFonts w:ascii="Times New Roman" w:hAnsi="Times New Roman" w:cs="Times New Roman"/>
          <w:b/>
          <w:sz w:val="24"/>
          <w:szCs w:val="24"/>
        </w:rPr>
        <w:t xml:space="preserve"> </w:t>
      </w:r>
      <w:r w:rsidR="0005513D" w:rsidRPr="0005513D">
        <w:rPr>
          <w:rFonts w:ascii="Times New Roman" w:hAnsi="Times New Roman" w:cs="Times New Roman"/>
          <w:b/>
          <w:sz w:val="24"/>
          <w:szCs w:val="24"/>
          <w:lang w:val="en-US"/>
        </w:rPr>
        <w:t>Justice</w:t>
      </w:r>
      <w:r w:rsidR="0005513D" w:rsidRPr="0005513D">
        <w:rPr>
          <w:rFonts w:ascii="Times New Roman" w:hAnsi="Times New Roman" w:cs="Times New Roman"/>
          <w:b/>
          <w:sz w:val="24"/>
          <w:szCs w:val="24"/>
        </w:rPr>
        <w:t xml:space="preserve">” </w:t>
      </w:r>
    </w:p>
    <w:p w14:paraId="689C4F6D" w14:textId="77777777" w:rsidR="00443C71" w:rsidRDefault="00C85B57" w:rsidP="00411D91">
      <w:pPr>
        <w:jc w:val="both"/>
        <w:rPr>
          <w:rFonts w:ascii="Times New Roman" w:hAnsi="Times New Roman" w:cs="Times New Roman"/>
          <w:sz w:val="24"/>
          <w:szCs w:val="24"/>
        </w:rPr>
      </w:pPr>
      <w:r w:rsidRPr="004F677A">
        <w:rPr>
          <w:rFonts w:ascii="Times New Roman" w:hAnsi="Times New Roman" w:cs="Times New Roman"/>
          <w:sz w:val="24"/>
          <w:szCs w:val="24"/>
        </w:rPr>
        <w:t>Τα</w:t>
      </w:r>
      <w:r w:rsidR="00DF5C48">
        <w:rPr>
          <w:rFonts w:ascii="Times New Roman" w:hAnsi="Times New Roman" w:cs="Times New Roman"/>
          <w:sz w:val="24"/>
          <w:szCs w:val="24"/>
        </w:rPr>
        <w:t xml:space="preserve"> μ</w:t>
      </w:r>
      <w:r w:rsidR="0005513D">
        <w:rPr>
          <w:rFonts w:ascii="Times New Roman" w:hAnsi="Times New Roman" w:cs="Times New Roman"/>
          <w:sz w:val="24"/>
          <w:szCs w:val="24"/>
        </w:rPr>
        <w:t xml:space="preserve">έλη </w:t>
      </w:r>
      <w:bookmarkStart w:id="0" w:name="_GoBack"/>
      <w:r w:rsidR="0005513D">
        <w:rPr>
          <w:rFonts w:ascii="Times New Roman" w:hAnsi="Times New Roman" w:cs="Times New Roman"/>
          <w:sz w:val="24"/>
          <w:szCs w:val="24"/>
        </w:rPr>
        <w:t xml:space="preserve">της </w:t>
      </w:r>
      <w:bookmarkEnd w:id="0"/>
      <w:r w:rsidR="0005513D">
        <w:rPr>
          <w:rFonts w:ascii="Times New Roman" w:hAnsi="Times New Roman" w:cs="Times New Roman"/>
          <w:sz w:val="24"/>
          <w:szCs w:val="24"/>
        </w:rPr>
        <w:t xml:space="preserve">Επιτροπής ασχολήθηκαν </w:t>
      </w:r>
      <w:proofErr w:type="spellStart"/>
      <w:r w:rsidR="00411D91" w:rsidRPr="004F677A">
        <w:rPr>
          <w:rFonts w:ascii="Times New Roman" w:hAnsi="Times New Roman" w:cs="Times New Roman"/>
          <w:sz w:val="24"/>
          <w:szCs w:val="24"/>
        </w:rPr>
        <w:t>κατ</w:t>
      </w:r>
      <w:proofErr w:type="spellEnd"/>
      <w:r w:rsidR="00411D91" w:rsidRPr="004F677A">
        <w:rPr>
          <w:rFonts w:ascii="Times New Roman" w:hAnsi="Times New Roman" w:cs="Times New Roman"/>
          <w:sz w:val="24"/>
          <w:szCs w:val="24"/>
        </w:rPr>
        <w:t xml:space="preserve">΄ αρχήν με </w:t>
      </w:r>
      <w:r w:rsidRPr="004F677A">
        <w:rPr>
          <w:rFonts w:ascii="Times New Roman" w:hAnsi="Times New Roman" w:cs="Times New Roman"/>
          <w:sz w:val="24"/>
          <w:szCs w:val="24"/>
        </w:rPr>
        <w:t xml:space="preserve">την </w:t>
      </w:r>
      <w:r w:rsidR="0005513D">
        <w:rPr>
          <w:rFonts w:ascii="Times New Roman" w:hAnsi="Times New Roman" w:cs="Times New Roman"/>
          <w:sz w:val="24"/>
          <w:szCs w:val="24"/>
        </w:rPr>
        <w:t>αξιολόγηση του παραπάνω συνεδρίου</w:t>
      </w:r>
      <w:r w:rsidR="00443C71">
        <w:rPr>
          <w:rFonts w:ascii="Times New Roman" w:hAnsi="Times New Roman" w:cs="Times New Roman"/>
          <w:sz w:val="24"/>
          <w:szCs w:val="24"/>
        </w:rPr>
        <w:t xml:space="preserve"> (για τα συμπεράσματα του οποίου βλ. προηγούμενο σχετικό ενημερωτικό σημείωμα)</w:t>
      </w:r>
      <w:r w:rsidR="0005513D">
        <w:rPr>
          <w:rFonts w:ascii="Times New Roman" w:hAnsi="Times New Roman" w:cs="Times New Roman"/>
          <w:sz w:val="24"/>
          <w:szCs w:val="24"/>
        </w:rPr>
        <w:t xml:space="preserve">. Όλοι συμφώνησαν ότι τόσο σε επίπεδο αριθμού συμμετεχόντων (άνω των 400) όσο και σε επίπεδο ποιότητας των ομιλιών και συζητήσεων που έλαβαν χώρα, η διεξαγωγή του συνεδρίου αυτού κρίνεται ως απόλυτα πετυχημένη, χάρις βεβαίως και στη συνεργασία του Πανεπιστημίου της </w:t>
      </w:r>
      <w:r w:rsidR="0005513D" w:rsidRPr="0005513D">
        <w:rPr>
          <w:rFonts w:ascii="Times New Roman" w:hAnsi="Times New Roman" w:cs="Times New Roman"/>
          <w:sz w:val="24"/>
          <w:szCs w:val="24"/>
          <w:lang w:val="en-US"/>
        </w:rPr>
        <w:t>Lille</w:t>
      </w:r>
      <w:r w:rsidR="0005513D">
        <w:rPr>
          <w:rFonts w:ascii="Times New Roman" w:hAnsi="Times New Roman" w:cs="Times New Roman"/>
          <w:sz w:val="24"/>
          <w:szCs w:val="24"/>
        </w:rPr>
        <w:t xml:space="preserve">, που είχε αναλάβει το βασικό βάρος της διοργάνωσης. </w:t>
      </w:r>
      <w:r w:rsidR="00443C71">
        <w:rPr>
          <w:rFonts w:ascii="Times New Roman" w:hAnsi="Times New Roman" w:cs="Times New Roman"/>
          <w:sz w:val="24"/>
          <w:szCs w:val="24"/>
        </w:rPr>
        <w:t>Ειδική συζήτηση έγινε για τα αποτελέσματα του ερωτηματολογίου που παρουσίασε στο συνέδριο η</w:t>
      </w:r>
      <w:r w:rsidR="00443C71" w:rsidRPr="00443C71">
        <w:rPr>
          <w:rFonts w:ascii="Times New Roman" w:hAnsi="Times New Roman" w:cs="Times New Roman"/>
          <w:sz w:val="24"/>
          <w:szCs w:val="24"/>
        </w:rPr>
        <w:t xml:space="preserve"> </w:t>
      </w:r>
      <w:r w:rsidR="00443C71">
        <w:rPr>
          <w:rFonts w:ascii="Times New Roman" w:hAnsi="Times New Roman" w:cs="Times New Roman"/>
          <w:sz w:val="24"/>
          <w:szCs w:val="24"/>
          <w:lang w:val="en-US"/>
        </w:rPr>
        <w:t>AIJA</w:t>
      </w:r>
      <w:r w:rsidR="00443C71" w:rsidRPr="00443C71">
        <w:rPr>
          <w:rFonts w:ascii="Times New Roman" w:hAnsi="Times New Roman" w:cs="Times New Roman"/>
          <w:sz w:val="24"/>
          <w:szCs w:val="24"/>
        </w:rPr>
        <w:t xml:space="preserve"> (</w:t>
      </w:r>
      <w:r w:rsidR="00443C71">
        <w:rPr>
          <w:rFonts w:ascii="Times New Roman" w:hAnsi="Times New Roman" w:cs="Times New Roman"/>
          <w:sz w:val="24"/>
          <w:szCs w:val="24"/>
          <w:lang w:val="en-US"/>
        </w:rPr>
        <w:t>International</w:t>
      </w:r>
      <w:r w:rsidR="00443C71" w:rsidRPr="00443C71">
        <w:rPr>
          <w:rFonts w:ascii="Times New Roman" w:hAnsi="Times New Roman" w:cs="Times New Roman"/>
          <w:sz w:val="24"/>
          <w:szCs w:val="24"/>
        </w:rPr>
        <w:t xml:space="preserve"> </w:t>
      </w:r>
      <w:r w:rsidR="00443C71">
        <w:rPr>
          <w:rFonts w:ascii="Times New Roman" w:hAnsi="Times New Roman" w:cs="Times New Roman"/>
          <w:sz w:val="24"/>
          <w:szCs w:val="24"/>
          <w:lang w:val="en-US"/>
        </w:rPr>
        <w:t>Association</w:t>
      </w:r>
      <w:r w:rsidR="00443C71" w:rsidRPr="00443C71">
        <w:rPr>
          <w:rFonts w:ascii="Times New Roman" w:hAnsi="Times New Roman" w:cs="Times New Roman"/>
          <w:sz w:val="24"/>
          <w:szCs w:val="24"/>
        </w:rPr>
        <w:t xml:space="preserve"> </w:t>
      </w:r>
      <w:r w:rsidR="00443C71">
        <w:rPr>
          <w:rFonts w:ascii="Times New Roman" w:hAnsi="Times New Roman" w:cs="Times New Roman"/>
          <w:sz w:val="24"/>
          <w:szCs w:val="24"/>
          <w:lang w:val="en-US"/>
        </w:rPr>
        <w:t>of</w:t>
      </w:r>
      <w:r w:rsidR="00443C71" w:rsidRPr="00443C71">
        <w:rPr>
          <w:rFonts w:ascii="Times New Roman" w:hAnsi="Times New Roman" w:cs="Times New Roman"/>
          <w:sz w:val="24"/>
          <w:szCs w:val="24"/>
        </w:rPr>
        <w:t xml:space="preserve"> </w:t>
      </w:r>
      <w:r w:rsidR="00443C71">
        <w:rPr>
          <w:rFonts w:ascii="Times New Roman" w:hAnsi="Times New Roman" w:cs="Times New Roman"/>
          <w:sz w:val="24"/>
          <w:szCs w:val="24"/>
          <w:lang w:val="en-US"/>
        </w:rPr>
        <w:t>Young</w:t>
      </w:r>
      <w:r w:rsidR="00443C71" w:rsidRPr="00443C71">
        <w:rPr>
          <w:rFonts w:ascii="Times New Roman" w:hAnsi="Times New Roman" w:cs="Times New Roman"/>
          <w:sz w:val="24"/>
          <w:szCs w:val="24"/>
        </w:rPr>
        <w:t xml:space="preserve"> </w:t>
      </w:r>
      <w:r w:rsidR="00443C71">
        <w:rPr>
          <w:rFonts w:ascii="Times New Roman" w:hAnsi="Times New Roman" w:cs="Times New Roman"/>
          <w:sz w:val="24"/>
          <w:szCs w:val="24"/>
          <w:lang w:val="en-US"/>
        </w:rPr>
        <w:t>Lawyers</w:t>
      </w:r>
      <w:r w:rsidR="00443C71" w:rsidRPr="00443C71">
        <w:rPr>
          <w:rFonts w:ascii="Times New Roman" w:hAnsi="Times New Roman" w:cs="Times New Roman"/>
          <w:sz w:val="24"/>
          <w:szCs w:val="24"/>
        </w:rPr>
        <w:t>)</w:t>
      </w:r>
      <w:r w:rsidR="00443C71">
        <w:rPr>
          <w:rFonts w:ascii="Times New Roman" w:hAnsi="Times New Roman" w:cs="Times New Roman"/>
          <w:sz w:val="24"/>
          <w:szCs w:val="24"/>
        </w:rPr>
        <w:t xml:space="preserve">, στα οποία  κάθε ενδιαφερόμενος μπορεί να ανατρέξει στον παρακάτω σύνδεσμο: </w:t>
      </w:r>
      <w:hyperlink r:id="rId5" w:history="1">
        <w:r w:rsidR="00443C71" w:rsidRPr="007C2974">
          <w:rPr>
            <w:rStyle w:val="Hyperlink"/>
            <w:rFonts w:ascii="Times New Roman" w:hAnsi="Times New Roman" w:cs="Times New Roman"/>
            <w:sz w:val="24"/>
            <w:szCs w:val="24"/>
          </w:rPr>
          <w:t>https://www.ccbe.eu/fileadmin/speciality_distribution/restricted/documents/Committees_-_Working_Groups/2019/Future/20190227_Future/2-2_AIJA-CCBE-Future-of-the-Legal-Profession-survey_2018_summary.pdf</w:t>
        </w:r>
      </w:hyperlink>
      <w:r w:rsidR="0005513D" w:rsidRPr="0005513D">
        <w:rPr>
          <w:rFonts w:ascii="Times New Roman" w:hAnsi="Times New Roman" w:cs="Times New Roman"/>
          <w:sz w:val="24"/>
          <w:szCs w:val="24"/>
        </w:rPr>
        <w:t xml:space="preserve">  </w:t>
      </w:r>
    </w:p>
    <w:p w14:paraId="4F9FFDA3" w14:textId="77777777" w:rsidR="00DF5C48" w:rsidRPr="00DF5C48" w:rsidRDefault="00443C71" w:rsidP="00411D91">
      <w:pPr>
        <w:jc w:val="both"/>
        <w:rPr>
          <w:rFonts w:ascii="Times New Roman" w:hAnsi="Times New Roman" w:cs="Times New Roman"/>
          <w:b/>
          <w:sz w:val="24"/>
          <w:szCs w:val="24"/>
        </w:rPr>
      </w:pPr>
      <w:r w:rsidRPr="00DF5C48">
        <w:rPr>
          <w:rFonts w:ascii="Times New Roman" w:hAnsi="Times New Roman" w:cs="Times New Roman"/>
          <w:b/>
          <w:sz w:val="24"/>
          <w:szCs w:val="24"/>
        </w:rPr>
        <w:t xml:space="preserve">2. Τεχνητή νοημοσύνη και </w:t>
      </w:r>
      <w:r w:rsidR="00DF5C48">
        <w:rPr>
          <w:rFonts w:ascii="Times New Roman" w:hAnsi="Times New Roman" w:cs="Times New Roman"/>
          <w:b/>
          <w:sz w:val="24"/>
          <w:szCs w:val="24"/>
        </w:rPr>
        <w:t>δικηγορικό</w:t>
      </w:r>
      <w:r w:rsidR="00DF5C48" w:rsidRPr="00DF5C48">
        <w:rPr>
          <w:rFonts w:ascii="Times New Roman" w:hAnsi="Times New Roman" w:cs="Times New Roman"/>
          <w:b/>
          <w:sz w:val="24"/>
          <w:szCs w:val="24"/>
        </w:rPr>
        <w:t xml:space="preserve"> επάγγελμα</w:t>
      </w:r>
    </w:p>
    <w:p w14:paraId="47D2256A" w14:textId="77777777" w:rsidR="00FF1F1E" w:rsidRDefault="00DF5C48" w:rsidP="00FF1F1E">
      <w:pPr>
        <w:jc w:val="both"/>
        <w:rPr>
          <w:rFonts w:ascii="Times New Roman" w:hAnsi="Times New Roman" w:cs="Times New Roman"/>
          <w:sz w:val="24"/>
          <w:szCs w:val="24"/>
        </w:rPr>
      </w:pPr>
      <w:r>
        <w:rPr>
          <w:rFonts w:ascii="Times New Roman" w:hAnsi="Times New Roman" w:cs="Times New Roman"/>
          <w:sz w:val="24"/>
          <w:szCs w:val="24"/>
        </w:rPr>
        <w:t xml:space="preserve">Στη συνέχεια </w:t>
      </w:r>
      <w:r w:rsidR="00232950">
        <w:rPr>
          <w:rFonts w:ascii="Times New Roman" w:hAnsi="Times New Roman" w:cs="Times New Roman"/>
          <w:sz w:val="24"/>
          <w:szCs w:val="24"/>
        </w:rPr>
        <w:t xml:space="preserve">αναπτύχθηκε ο προβληματισμός </w:t>
      </w:r>
      <w:r w:rsidR="00FF1F1E" w:rsidRPr="00FF1F1E">
        <w:rPr>
          <w:rFonts w:ascii="Times New Roman" w:hAnsi="Times New Roman" w:cs="Times New Roman"/>
          <w:sz w:val="24"/>
          <w:szCs w:val="24"/>
        </w:rPr>
        <w:t xml:space="preserve">μεταξύ των μελών της Επιτροπής </w:t>
      </w:r>
      <w:r w:rsidR="00232950">
        <w:rPr>
          <w:rFonts w:ascii="Times New Roman" w:hAnsi="Times New Roman" w:cs="Times New Roman"/>
          <w:sz w:val="24"/>
          <w:szCs w:val="24"/>
        </w:rPr>
        <w:t xml:space="preserve">περί του αν θα ήταν σκόπιμο το </w:t>
      </w:r>
      <w:r w:rsidR="00232950" w:rsidRPr="00232950">
        <w:rPr>
          <w:rFonts w:ascii="Times New Roman" w:hAnsi="Times New Roman" w:cs="Times New Roman"/>
          <w:sz w:val="24"/>
          <w:szCs w:val="24"/>
          <w:lang w:val="en-US"/>
        </w:rPr>
        <w:t>CCBE</w:t>
      </w:r>
      <w:r w:rsidR="00232950" w:rsidRPr="00232950">
        <w:rPr>
          <w:rFonts w:ascii="Times New Roman" w:hAnsi="Times New Roman" w:cs="Times New Roman"/>
          <w:sz w:val="24"/>
          <w:szCs w:val="24"/>
        </w:rPr>
        <w:t xml:space="preserve"> </w:t>
      </w:r>
      <w:r w:rsidR="00232950">
        <w:rPr>
          <w:rFonts w:ascii="Times New Roman" w:hAnsi="Times New Roman" w:cs="Times New Roman"/>
          <w:sz w:val="24"/>
          <w:szCs w:val="24"/>
        </w:rPr>
        <w:t>να προχωρήσει στη δημιουργία μιας ειδικής Ομάδας Εργασίας με αντικείμενο να προ</w:t>
      </w:r>
      <w:r w:rsidR="00FF1F1E">
        <w:rPr>
          <w:rFonts w:ascii="Times New Roman" w:hAnsi="Times New Roman" w:cs="Times New Roman"/>
          <w:sz w:val="24"/>
          <w:szCs w:val="24"/>
        </w:rPr>
        <w:t>βεί</w:t>
      </w:r>
      <w:r w:rsidR="00232950">
        <w:rPr>
          <w:rFonts w:ascii="Times New Roman" w:hAnsi="Times New Roman" w:cs="Times New Roman"/>
          <w:sz w:val="24"/>
          <w:szCs w:val="24"/>
        </w:rPr>
        <w:t xml:space="preserve"> σ’ έναν προσδιορισμό </w:t>
      </w:r>
      <w:r w:rsidR="00FF1F1E" w:rsidRPr="00FF1F1E">
        <w:rPr>
          <w:rFonts w:ascii="Times New Roman" w:hAnsi="Times New Roman" w:cs="Times New Roman"/>
          <w:sz w:val="24"/>
          <w:szCs w:val="24"/>
        </w:rPr>
        <w:t xml:space="preserve">αφενός </w:t>
      </w:r>
      <w:r w:rsidR="00232950">
        <w:rPr>
          <w:rFonts w:ascii="Times New Roman" w:hAnsi="Times New Roman" w:cs="Times New Roman"/>
          <w:sz w:val="24"/>
          <w:szCs w:val="24"/>
        </w:rPr>
        <w:t xml:space="preserve">των εννοιολογικών και τεχνικών χαρακτηριστικών της τεχνητής νοημοσύνης και, αφετέρου, των βασικών αρχών που, από τη σκοπιά του δικηγορικού επαγγέλματος, θα πρέπει να τη διέπουν τη χρήση </w:t>
      </w:r>
      <w:r w:rsidR="00FF1F1E">
        <w:rPr>
          <w:rFonts w:ascii="Times New Roman" w:hAnsi="Times New Roman" w:cs="Times New Roman"/>
          <w:sz w:val="24"/>
          <w:szCs w:val="24"/>
        </w:rPr>
        <w:t xml:space="preserve">της, ιδίως στο πλαίσιο </w:t>
      </w:r>
      <w:r w:rsidR="00FF1F1E" w:rsidRPr="00FF1F1E">
        <w:rPr>
          <w:rFonts w:ascii="Times New Roman" w:hAnsi="Times New Roman" w:cs="Times New Roman"/>
          <w:sz w:val="24"/>
          <w:szCs w:val="24"/>
        </w:rPr>
        <w:t>απονομή</w:t>
      </w:r>
      <w:r w:rsidR="00FF1F1E">
        <w:rPr>
          <w:rFonts w:ascii="Times New Roman" w:hAnsi="Times New Roman" w:cs="Times New Roman"/>
          <w:sz w:val="24"/>
          <w:szCs w:val="24"/>
        </w:rPr>
        <w:t>ς</w:t>
      </w:r>
      <w:r w:rsidR="00FF1F1E" w:rsidRPr="00FF1F1E">
        <w:rPr>
          <w:rFonts w:ascii="Times New Roman" w:hAnsi="Times New Roman" w:cs="Times New Roman"/>
          <w:sz w:val="24"/>
          <w:szCs w:val="24"/>
        </w:rPr>
        <w:t xml:space="preserve"> της Δικαιοσύνης. Μεταξύ αυτών, </w:t>
      </w:r>
      <w:r w:rsidR="00FF1F1E">
        <w:rPr>
          <w:rFonts w:ascii="Times New Roman" w:hAnsi="Times New Roman" w:cs="Times New Roman"/>
          <w:sz w:val="24"/>
          <w:szCs w:val="24"/>
        </w:rPr>
        <w:t xml:space="preserve">λ.χ., </w:t>
      </w:r>
      <w:r w:rsidR="00FF1F1E" w:rsidRPr="00FF1F1E">
        <w:rPr>
          <w:rFonts w:ascii="Times New Roman" w:hAnsi="Times New Roman" w:cs="Times New Roman"/>
          <w:sz w:val="24"/>
          <w:szCs w:val="24"/>
        </w:rPr>
        <w:t xml:space="preserve">θεμελιώδες πρωτίστως </w:t>
      </w:r>
      <w:r w:rsidR="00FF1F1E">
        <w:rPr>
          <w:rFonts w:ascii="Times New Roman" w:hAnsi="Times New Roman" w:cs="Times New Roman"/>
          <w:sz w:val="24"/>
          <w:szCs w:val="24"/>
        </w:rPr>
        <w:t xml:space="preserve">θα ήταν ότι οι άνθρωποι </w:t>
      </w:r>
      <w:r w:rsidR="00FF1F1E" w:rsidRPr="00FF1F1E">
        <w:rPr>
          <w:rFonts w:ascii="Times New Roman" w:hAnsi="Times New Roman" w:cs="Times New Roman"/>
          <w:sz w:val="24"/>
          <w:szCs w:val="24"/>
        </w:rPr>
        <w:t>διατηρ</w:t>
      </w:r>
      <w:r w:rsidR="00FF1F1E">
        <w:rPr>
          <w:rFonts w:ascii="Times New Roman" w:hAnsi="Times New Roman" w:cs="Times New Roman"/>
          <w:sz w:val="24"/>
          <w:szCs w:val="24"/>
        </w:rPr>
        <w:t>ούν</w:t>
      </w:r>
      <w:r w:rsidR="00FF1F1E" w:rsidRPr="00FF1F1E">
        <w:rPr>
          <w:rFonts w:ascii="Times New Roman" w:hAnsi="Times New Roman" w:cs="Times New Roman"/>
          <w:sz w:val="24"/>
          <w:szCs w:val="24"/>
        </w:rPr>
        <w:t xml:space="preserve"> πάντοτε την εξουσία ν’ αποφασίζουν (εκείνοι και όχι οι μηχανές), καθώς και ότι σε κάθε περίπτωση χρήσης συστήματος τεχνητής νοημοσύνης, όλες οι πλευρές (ήτοι, όλοι οι διάδικοι, όπως εκπροσωπούνται) θα πρέπει να  έχουν δικαίωμα πρόσβασης σ΄ αυτό, όπως ακριβώς και ο δικαστής.</w:t>
      </w:r>
    </w:p>
    <w:p w14:paraId="63F22D1F" w14:textId="77777777" w:rsidR="00FF1F1E" w:rsidRDefault="00FF1F1E" w:rsidP="00FF1F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Αποφασίστηκε να προταθεί στο Προεδρείο του </w:t>
      </w:r>
      <w:r w:rsidRPr="00FF1F1E">
        <w:rPr>
          <w:rFonts w:ascii="Times New Roman" w:hAnsi="Times New Roman" w:cs="Times New Roman"/>
          <w:sz w:val="24"/>
          <w:szCs w:val="24"/>
          <w:lang w:val="en-US"/>
        </w:rPr>
        <w:t>CCBE</w:t>
      </w:r>
      <w:r>
        <w:rPr>
          <w:rFonts w:ascii="Times New Roman" w:hAnsi="Times New Roman" w:cs="Times New Roman"/>
          <w:sz w:val="24"/>
          <w:szCs w:val="24"/>
        </w:rPr>
        <w:t xml:space="preserve"> η ίδρυση μιας τέτοιας Ομάδας Εργασίας, στην οποία να συμμετέχουν 1-2 μέλη από κάθε Επιτροπή της οποίας το αντικείμενο σχετίζεται με το ζήτημα (ήτοι, από την παρούσα Επιτροπή, από την Επιτροπή </w:t>
      </w:r>
      <w:r>
        <w:rPr>
          <w:rFonts w:ascii="Times New Roman" w:hAnsi="Times New Roman" w:cs="Times New Roman"/>
          <w:sz w:val="24"/>
          <w:szCs w:val="24"/>
          <w:lang w:val="en-US"/>
        </w:rPr>
        <w:t>IT</w:t>
      </w:r>
      <w:r w:rsidRPr="00FF1F1E">
        <w:rPr>
          <w:rFonts w:ascii="Times New Roman" w:hAnsi="Times New Roman" w:cs="Times New Roman"/>
          <w:sz w:val="24"/>
          <w:szCs w:val="24"/>
        </w:rPr>
        <w:t xml:space="preserve"> </w:t>
      </w:r>
      <w:r>
        <w:rPr>
          <w:rFonts w:ascii="Times New Roman" w:hAnsi="Times New Roman" w:cs="Times New Roman"/>
          <w:sz w:val="24"/>
          <w:szCs w:val="24"/>
          <w:lang w:val="en-US"/>
        </w:rPr>
        <w:t>Law</w:t>
      </w:r>
      <w:r w:rsidRPr="00FF1F1E">
        <w:rPr>
          <w:rFonts w:ascii="Times New Roman" w:hAnsi="Times New Roman" w:cs="Times New Roman"/>
          <w:sz w:val="24"/>
          <w:szCs w:val="24"/>
        </w:rPr>
        <w:t xml:space="preserve">,  </w:t>
      </w:r>
      <w:r>
        <w:rPr>
          <w:rFonts w:ascii="Times New Roman" w:hAnsi="Times New Roman" w:cs="Times New Roman"/>
          <w:sz w:val="24"/>
          <w:szCs w:val="24"/>
        </w:rPr>
        <w:t xml:space="preserve">από την Επιτροπή </w:t>
      </w:r>
      <w:r>
        <w:rPr>
          <w:rFonts w:ascii="Times New Roman" w:hAnsi="Times New Roman" w:cs="Times New Roman"/>
          <w:sz w:val="24"/>
          <w:szCs w:val="24"/>
          <w:lang w:val="en-US"/>
        </w:rPr>
        <w:t>Access</w:t>
      </w:r>
      <w:r w:rsidRPr="00FF1F1E">
        <w:rPr>
          <w:rFonts w:ascii="Times New Roman" w:hAnsi="Times New Roman" w:cs="Times New Roman"/>
          <w:sz w:val="24"/>
          <w:szCs w:val="24"/>
        </w:rPr>
        <w:t xml:space="preserve"> </w:t>
      </w:r>
      <w:r>
        <w:rPr>
          <w:rFonts w:ascii="Times New Roman" w:hAnsi="Times New Roman" w:cs="Times New Roman"/>
          <w:sz w:val="24"/>
          <w:szCs w:val="24"/>
          <w:lang w:val="en-US"/>
        </w:rPr>
        <w:t>to</w:t>
      </w:r>
      <w:r w:rsidRPr="00FF1F1E">
        <w:rPr>
          <w:rFonts w:ascii="Times New Roman" w:hAnsi="Times New Roman" w:cs="Times New Roman"/>
          <w:sz w:val="24"/>
          <w:szCs w:val="24"/>
        </w:rPr>
        <w:t xml:space="preserve"> </w:t>
      </w:r>
      <w:r>
        <w:rPr>
          <w:rFonts w:ascii="Times New Roman" w:hAnsi="Times New Roman" w:cs="Times New Roman"/>
          <w:sz w:val="24"/>
          <w:szCs w:val="24"/>
          <w:lang w:val="en-US"/>
        </w:rPr>
        <w:t>Justice</w:t>
      </w:r>
      <w:r>
        <w:rPr>
          <w:rFonts w:ascii="Times New Roman" w:hAnsi="Times New Roman" w:cs="Times New Roman"/>
          <w:sz w:val="24"/>
          <w:szCs w:val="24"/>
        </w:rPr>
        <w:t xml:space="preserve"> κλπ).</w:t>
      </w:r>
    </w:p>
    <w:p w14:paraId="5CB9E164" w14:textId="77777777" w:rsidR="00722E50" w:rsidRPr="00722E50" w:rsidRDefault="00722E50" w:rsidP="00722E50">
      <w:pPr>
        <w:jc w:val="both"/>
        <w:rPr>
          <w:rFonts w:ascii="Times New Roman" w:hAnsi="Times New Roman" w:cs="Times New Roman"/>
          <w:sz w:val="24"/>
          <w:szCs w:val="24"/>
        </w:rPr>
      </w:pPr>
      <w:r>
        <w:rPr>
          <w:rFonts w:ascii="Times New Roman" w:hAnsi="Times New Roman" w:cs="Times New Roman"/>
          <w:sz w:val="24"/>
          <w:szCs w:val="24"/>
        </w:rPr>
        <w:t xml:space="preserve">Πέραν αυτού, </w:t>
      </w:r>
      <w:r w:rsidRPr="00722E50">
        <w:rPr>
          <w:rFonts w:ascii="Times New Roman" w:hAnsi="Times New Roman" w:cs="Times New Roman"/>
          <w:sz w:val="24"/>
          <w:szCs w:val="24"/>
        </w:rPr>
        <w:t xml:space="preserve">αναπτύχθηκε </w:t>
      </w:r>
      <w:r>
        <w:rPr>
          <w:rFonts w:ascii="Times New Roman" w:hAnsi="Times New Roman" w:cs="Times New Roman"/>
          <w:sz w:val="24"/>
          <w:szCs w:val="24"/>
        </w:rPr>
        <w:t>ο</w:t>
      </w:r>
      <w:r w:rsidRPr="00722E50">
        <w:rPr>
          <w:rFonts w:ascii="Times New Roman" w:hAnsi="Times New Roman" w:cs="Times New Roman"/>
          <w:sz w:val="24"/>
          <w:szCs w:val="24"/>
        </w:rPr>
        <w:t xml:space="preserve"> προβληματισμός </w:t>
      </w:r>
      <w:r>
        <w:rPr>
          <w:rFonts w:ascii="Times New Roman" w:hAnsi="Times New Roman" w:cs="Times New Roman"/>
          <w:sz w:val="24"/>
          <w:szCs w:val="24"/>
        </w:rPr>
        <w:t xml:space="preserve">σχετικά με το αν η </w:t>
      </w:r>
      <w:r w:rsidRPr="00722E50">
        <w:rPr>
          <w:rFonts w:ascii="Times New Roman" w:hAnsi="Times New Roman" w:cs="Times New Roman"/>
          <w:sz w:val="24"/>
          <w:szCs w:val="24"/>
        </w:rPr>
        <w:t>χρήση της τ</w:t>
      </w:r>
      <w:r>
        <w:rPr>
          <w:rFonts w:ascii="Times New Roman" w:hAnsi="Times New Roman" w:cs="Times New Roman"/>
          <w:sz w:val="24"/>
          <w:szCs w:val="24"/>
        </w:rPr>
        <w:t>εχνητής νοημοσύνης στο επάγγελμά</w:t>
      </w:r>
      <w:r w:rsidRPr="00722E50">
        <w:rPr>
          <w:rFonts w:ascii="Times New Roman" w:hAnsi="Times New Roman" w:cs="Times New Roman"/>
          <w:sz w:val="24"/>
          <w:szCs w:val="24"/>
        </w:rPr>
        <w:t xml:space="preserve"> μας συνιστά απλώς την τεχνική πλευρά της επαγγελματικής μας δραστηριότητας ή </w:t>
      </w:r>
      <w:r>
        <w:rPr>
          <w:rFonts w:ascii="Times New Roman" w:hAnsi="Times New Roman" w:cs="Times New Roman"/>
          <w:sz w:val="24"/>
          <w:szCs w:val="24"/>
        </w:rPr>
        <w:t xml:space="preserve">αν αποκτά </w:t>
      </w:r>
      <w:r w:rsidRPr="00722E50">
        <w:rPr>
          <w:rFonts w:ascii="Times New Roman" w:hAnsi="Times New Roman" w:cs="Times New Roman"/>
          <w:sz w:val="24"/>
          <w:szCs w:val="24"/>
        </w:rPr>
        <w:t>αυτοτελές περιεχόμενο</w:t>
      </w:r>
      <w:r>
        <w:rPr>
          <w:rFonts w:ascii="Times New Roman" w:hAnsi="Times New Roman" w:cs="Times New Roman"/>
          <w:sz w:val="24"/>
          <w:szCs w:val="24"/>
        </w:rPr>
        <w:t xml:space="preserve"> και φυσιογνωμία, ως κάτι ξεχωριστό, διαμορφώνοντας εντελώς νέες συνθήκες, ουσιαστικά </w:t>
      </w:r>
      <w:r w:rsidRPr="00722E50">
        <w:rPr>
          <w:rFonts w:ascii="Times New Roman" w:hAnsi="Times New Roman" w:cs="Times New Roman"/>
          <w:sz w:val="24"/>
          <w:szCs w:val="24"/>
        </w:rPr>
        <w:t xml:space="preserve">μια </w:t>
      </w:r>
      <w:r>
        <w:rPr>
          <w:rFonts w:ascii="Times New Roman" w:hAnsi="Times New Roman" w:cs="Times New Roman"/>
          <w:sz w:val="24"/>
          <w:szCs w:val="24"/>
        </w:rPr>
        <w:t xml:space="preserve">νέα επιστήμη, </w:t>
      </w:r>
      <w:r w:rsidRPr="00722E50">
        <w:rPr>
          <w:rFonts w:ascii="Times New Roman" w:hAnsi="Times New Roman" w:cs="Times New Roman"/>
          <w:sz w:val="24"/>
          <w:szCs w:val="24"/>
        </w:rPr>
        <w:t>τη νομική τεχνολογία</w:t>
      </w:r>
      <w:r>
        <w:rPr>
          <w:rFonts w:ascii="Times New Roman" w:hAnsi="Times New Roman" w:cs="Times New Roman"/>
          <w:sz w:val="24"/>
          <w:szCs w:val="24"/>
        </w:rPr>
        <w:t>. Οι σχέσεις μεταξύ τεχνολογίας και, ειδικότερα, τεχνητής νοημοσύνης και δικηγορικού επαγγέλματος</w:t>
      </w:r>
      <w:r w:rsidR="00CF564C">
        <w:rPr>
          <w:rFonts w:ascii="Times New Roman" w:hAnsi="Times New Roman" w:cs="Times New Roman"/>
          <w:sz w:val="24"/>
          <w:szCs w:val="24"/>
        </w:rPr>
        <w:t>, ενόψει των πρακτικών επιπτώσεων που μπορούν να έχουν στην επαγγελματική ζωή των δικηγόρων,</w:t>
      </w:r>
      <w:r>
        <w:rPr>
          <w:rFonts w:ascii="Times New Roman" w:hAnsi="Times New Roman" w:cs="Times New Roman"/>
          <w:sz w:val="24"/>
          <w:szCs w:val="24"/>
        </w:rPr>
        <w:t xml:space="preserve"> </w:t>
      </w:r>
      <w:r w:rsidRPr="00722E50">
        <w:rPr>
          <w:rFonts w:ascii="Times New Roman" w:hAnsi="Times New Roman" w:cs="Times New Roman"/>
          <w:sz w:val="24"/>
          <w:szCs w:val="24"/>
        </w:rPr>
        <w:t>πρέπει ν</w:t>
      </w:r>
      <w:r>
        <w:rPr>
          <w:rFonts w:ascii="Times New Roman" w:hAnsi="Times New Roman" w:cs="Times New Roman"/>
          <w:sz w:val="24"/>
          <w:szCs w:val="24"/>
        </w:rPr>
        <w:t>’</w:t>
      </w:r>
      <w:r w:rsidR="00CF564C">
        <w:rPr>
          <w:rFonts w:ascii="Times New Roman" w:hAnsi="Times New Roman" w:cs="Times New Roman"/>
          <w:sz w:val="24"/>
          <w:szCs w:val="24"/>
        </w:rPr>
        <w:t xml:space="preserve"> απασχολήσει τα συλλογικά όργανα των δικηγόρων κάθε χώρας</w:t>
      </w:r>
      <w:r w:rsidRPr="00722E50">
        <w:rPr>
          <w:rFonts w:ascii="Times New Roman" w:hAnsi="Times New Roman" w:cs="Times New Roman"/>
          <w:sz w:val="24"/>
          <w:szCs w:val="24"/>
        </w:rPr>
        <w:t xml:space="preserve">, </w:t>
      </w:r>
      <w:r w:rsidR="00CF564C">
        <w:rPr>
          <w:rFonts w:ascii="Times New Roman" w:hAnsi="Times New Roman" w:cs="Times New Roman"/>
          <w:sz w:val="24"/>
          <w:szCs w:val="24"/>
        </w:rPr>
        <w:t xml:space="preserve">τα οποία </w:t>
      </w:r>
      <w:r w:rsidRPr="00722E50">
        <w:rPr>
          <w:rFonts w:ascii="Times New Roman" w:hAnsi="Times New Roman" w:cs="Times New Roman"/>
          <w:sz w:val="24"/>
          <w:szCs w:val="24"/>
        </w:rPr>
        <w:t>πρέπει ν</w:t>
      </w:r>
      <w:r w:rsidR="00CF564C">
        <w:rPr>
          <w:rFonts w:ascii="Times New Roman" w:hAnsi="Times New Roman" w:cs="Times New Roman"/>
          <w:sz w:val="24"/>
          <w:szCs w:val="24"/>
        </w:rPr>
        <w:t>’</w:t>
      </w:r>
      <w:r w:rsidRPr="00722E50">
        <w:rPr>
          <w:rFonts w:ascii="Times New Roman" w:hAnsi="Times New Roman" w:cs="Times New Roman"/>
          <w:sz w:val="24"/>
          <w:szCs w:val="24"/>
        </w:rPr>
        <w:t xml:space="preserve"> </w:t>
      </w:r>
      <w:r w:rsidR="00CF564C">
        <w:rPr>
          <w:rFonts w:ascii="Times New Roman" w:hAnsi="Times New Roman" w:cs="Times New Roman"/>
          <w:sz w:val="24"/>
          <w:szCs w:val="24"/>
        </w:rPr>
        <w:t xml:space="preserve">ασχοληθούν με το ζήτημα και να οριοθετήσουν τα βήματα, τις αρχές και τον τρόπο προσέγγισης της τεχνητής νοημοσύνης. </w:t>
      </w:r>
      <w:r w:rsidRPr="00722E50">
        <w:rPr>
          <w:rFonts w:ascii="Times New Roman" w:hAnsi="Times New Roman" w:cs="Times New Roman"/>
          <w:sz w:val="24"/>
          <w:szCs w:val="24"/>
        </w:rPr>
        <w:t xml:space="preserve"> Το θέμα αυτό έχει τεθεί και στο Δικηγορικό Συνέδριο των Σερρών, ώστε</w:t>
      </w:r>
      <w:r w:rsidR="00CF564C">
        <w:rPr>
          <w:rFonts w:ascii="Times New Roman" w:hAnsi="Times New Roman" w:cs="Times New Roman"/>
          <w:sz w:val="24"/>
          <w:szCs w:val="24"/>
        </w:rPr>
        <w:t>, σύμφωνα με τις σχετικές συζητήσεις και, ενδεχομένως, αποφάσεις,</w:t>
      </w:r>
      <w:r w:rsidRPr="00722E50">
        <w:rPr>
          <w:rFonts w:ascii="Times New Roman" w:hAnsi="Times New Roman" w:cs="Times New Roman"/>
          <w:sz w:val="24"/>
          <w:szCs w:val="24"/>
        </w:rPr>
        <w:t xml:space="preserve"> εν συνεχεία η Αντιπροσωπεία μας να διατυπώσει την επίσημη εθνική θέση.  </w:t>
      </w:r>
    </w:p>
    <w:p w14:paraId="62089F14" w14:textId="77777777" w:rsidR="00722E50" w:rsidRPr="00FF1F1E" w:rsidRDefault="00722E50" w:rsidP="00FF1F1E">
      <w:pPr>
        <w:jc w:val="both"/>
        <w:rPr>
          <w:rFonts w:ascii="Times New Roman" w:hAnsi="Times New Roman" w:cs="Times New Roman"/>
          <w:sz w:val="24"/>
          <w:szCs w:val="24"/>
        </w:rPr>
      </w:pPr>
      <w:r w:rsidRPr="00CF564C">
        <w:rPr>
          <w:rFonts w:ascii="Times New Roman" w:hAnsi="Times New Roman" w:cs="Times New Roman"/>
          <w:b/>
          <w:sz w:val="24"/>
          <w:szCs w:val="24"/>
        </w:rPr>
        <w:t>3.</w:t>
      </w:r>
      <w:r>
        <w:rPr>
          <w:rFonts w:ascii="Times New Roman" w:hAnsi="Times New Roman" w:cs="Times New Roman"/>
          <w:sz w:val="24"/>
          <w:szCs w:val="24"/>
        </w:rPr>
        <w:t xml:space="preserve"> </w:t>
      </w:r>
      <w:r w:rsidR="00CF564C">
        <w:rPr>
          <w:rFonts w:ascii="Times New Roman" w:hAnsi="Times New Roman" w:cs="Times New Roman"/>
          <w:sz w:val="24"/>
          <w:szCs w:val="24"/>
        </w:rPr>
        <w:t>Κατά τα λοιπά υπήρξε ενημέρωση για τις τελευταίες εξελίξεις και η έγκριση του Πλάνου Εργασίας της Επιτροπής για το 2019.</w:t>
      </w:r>
    </w:p>
    <w:p w14:paraId="7FCBB5BA" w14:textId="77777777" w:rsidR="00C85B57" w:rsidRPr="004F677A" w:rsidRDefault="00C85B57" w:rsidP="00C85B57">
      <w:pPr>
        <w:rPr>
          <w:rFonts w:ascii="Times New Roman" w:hAnsi="Times New Roman" w:cs="Times New Roman"/>
          <w:sz w:val="24"/>
          <w:szCs w:val="24"/>
        </w:rPr>
      </w:pPr>
    </w:p>
    <w:p w14:paraId="45079D40" w14:textId="77777777" w:rsidR="00C85B57" w:rsidRPr="004F677A" w:rsidRDefault="00C85B57" w:rsidP="00C85B57">
      <w:pPr>
        <w:rPr>
          <w:rFonts w:ascii="Times New Roman" w:hAnsi="Times New Roman" w:cs="Times New Roman"/>
          <w:b/>
          <w:sz w:val="24"/>
          <w:szCs w:val="24"/>
        </w:rPr>
      </w:pPr>
      <w:r w:rsidRPr="004F677A">
        <w:rPr>
          <w:rFonts w:ascii="Times New Roman" w:hAnsi="Times New Roman" w:cs="Times New Roman"/>
          <w:b/>
          <w:sz w:val="24"/>
          <w:szCs w:val="24"/>
        </w:rPr>
        <w:t xml:space="preserve">                                                               Για την Ελληνική Αντιπροσωπεία</w:t>
      </w:r>
    </w:p>
    <w:p w14:paraId="502883AE" w14:textId="77777777" w:rsidR="00C85B57" w:rsidRPr="004F677A" w:rsidRDefault="00C85B57" w:rsidP="00C85B57">
      <w:pPr>
        <w:rPr>
          <w:rFonts w:ascii="Times New Roman" w:hAnsi="Times New Roman" w:cs="Times New Roman"/>
          <w:b/>
          <w:sz w:val="24"/>
          <w:szCs w:val="24"/>
        </w:rPr>
      </w:pPr>
      <w:r w:rsidRPr="004F677A">
        <w:rPr>
          <w:rFonts w:ascii="Times New Roman" w:hAnsi="Times New Roman" w:cs="Times New Roman"/>
          <w:b/>
          <w:sz w:val="24"/>
          <w:szCs w:val="24"/>
        </w:rPr>
        <w:t xml:space="preserve">                                </w:t>
      </w:r>
      <w:r w:rsidR="004F677A">
        <w:rPr>
          <w:rFonts w:ascii="Times New Roman" w:hAnsi="Times New Roman" w:cs="Times New Roman"/>
          <w:b/>
          <w:sz w:val="24"/>
          <w:szCs w:val="24"/>
        </w:rPr>
        <w:t xml:space="preserve">                       </w:t>
      </w:r>
      <w:r w:rsidRPr="004F677A">
        <w:rPr>
          <w:rFonts w:ascii="Times New Roman" w:hAnsi="Times New Roman" w:cs="Times New Roman"/>
          <w:b/>
          <w:sz w:val="24"/>
          <w:szCs w:val="24"/>
        </w:rPr>
        <w:t xml:space="preserve">Παναγιώτης </w:t>
      </w:r>
      <w:proofErr w:type="spellStart"/>
      <w:r w:rsidRPr="004F677A">
        <w:rPr>
          <w:rFonts w:ascii="Times New Roman" w:hAnsi="Times New Roman" w:cs="Times New Roman"/>
          <w:b/>
          <w:sz w:val="24"/>
          <w:szCs w:val="24"/>
        </w:rPr>
        <w:t>Περάκης</w:t>
      </w:r>
      <w:proofErr w:type="spellEnd"/>
      <w:r w:rsidRPr="004F677A">
        <w:rPr>
          <w:rFonts w:ascii="Times New Roman" w:hAnsi="Times New Roman" w:cs="Times New Roman"/>
          <w:b/>
          <w:sz w:val="24"/>
          <w:szCs w:val="24"/>
        </w:rPr>
        <w:t xml:space="preserve"> - Νικόλαος </w:t>
      </w:r>
      <w:proofErr w:type="spellStart"/>
      <w:r w:rsidRPr="004F677A">
        <w:rPr>
          <w:rFonts w:ascii="Times New Roman" w:hAnsi="Times New Roman" w:cs="Times New Roman"/>
          <w:b/>
          <w:sz w:val="24"/>
          <w:szCs w:val="24"/>
        </w:rPr>
        <w:t>Κουτκιάς</w:t>
      </w:r>
      <w:proofErr w:type="spellEnd"/>
    </w:p>
    <w:p w14:paraId="3D508579" w14:textId="77777777" w:rsidR="00411D91" w:rsidRPr="004F677A" w:rsidRDefault="00411D91" w:rsidP="00C85B57">
      <w:pPr>
        <w:rPr>
          <w:b/>
        </w:rPr>
      </w:pPr>
    </w:p>
    <w:p w14:paraId="551D55F0" w14:textId="77777777" w:rsidR="00411D91" w:rsidRPr="004F677A" w:rsidRDefault="00411D91" w:rsidP="00C85B57">
      <w:pPr>
        <w:rPr>
          <w:b/>
        </w:rPr>
      </w:pPr>
    </w:p>
    <w:p w14:paraId="6176B000" w14:textId="77777777" w:rsidR="00411D91" w:rsidRPr="004F677A" w:rsidRDefault="00411D91" w:rsidP="00C85B57">
      <w:pPr>
        <w:rPr>
          <w:b/>
        </w:rPr>
      </w:pPr>
    </w:p>
    <w:p w14:paraId="214AEBB5" w14:textId="77777777" w:rsidR="00226D57" w:rsidRPr="004F677A" w:rsidRDefault="00226D57">
      <w:pPr>
        <w:rPr>
          <w:rFonts w:ascii="Times New Roman" w:hAnsi="Times New Roman" w:cs="Times New Roman"/>
          <w:sz w:val="24"/>
          <w:szCs w:val="24"/>
        </w:rPr>
      </w:pPr>
    </w:p>
    <w:sectPr w:rsidR="00226D57" w:rsidRPr="004F6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24163"/>
    <w:multiLevelType w:val="hybridMultilevel"/>
    <w:tmpl w:val="5F56E8CA"/>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57"/>
    <w:rsid w:val="0005513D"/>
    <w:rsid w:val="00226D57"/>
    <w:rsid w:val="00232950"/>
    <w:rsid w:val="00411D91"/>
    <w:rsid w:val="00443C71"/>
    <w:rsid w:val="004904A3"/>
    <w:rsid w:val="004F677A"/>
    <w:rsid w:val="00722E50"/>
    <w:rsid w:val="00C85B57"/>
    <w:rsid w:val="00CF564C"/>
    <w:rsid w:val="00DF5C48"/>
    <w:rsid w:val="00FF1F1E"/>
    <w:rsid w:val="00FF63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B8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D91"/>
    <w:rPr>
      <w:color w:val="0000FF" w:themeColor="hyperlink"/>
      <w:u w:val="single"/>
    </w:rPr>
  </w:style>
  <w:style w:type="paragraph" w:styleId="ListParagraph">
    <w:name w:val="List Paragraph"/>
    <w:basedOn w:val="Normal"/>
    <w:uiPriority w:val="34"/>
    <w:qFormat/>
    <w:rsid w:val="004F6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18856">
      <w:bodyDiv w:val="1"/>
      <w:marLeft w:val="0"/>
      <w:marRight w:val="0"/>
      <w:marTop w:val="0"/>
      <w:marBottom w:val="0"/>
      <w:divBdr>
        <w:top w:val="none" w:sz="0" w:space="0" w:color="auto"/>
        <w:left w:val="none" w:sz="0" w:space="0" w:color="auto"/>
        <w:bottom w:val="none" w:sz="0" w:space="0" w:color="auto"/>
        <w:right w:val="none" w:sz="0" w:space="0" w:color="auto"/>
      </w:divBdr>
    </w:div>
    <w:div w:id="20419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cbe.eu/fileadmin/speciality_distribution/restricted/documents/Committees_-_Working_Groups/2019/Future/20190227_Future/2-2_AIJA-CCBE-Future-of-the-Legal-Profession-survey_2018_summary.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Macintosh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2019-03-19T00:21:00Z</dcterms:created>
  <dcterms:modified xsi:type="dcterms:W3CDTF">2019-03-19T00:21:00Z</dcterms:modified>
</cp:coreProperties>
</file>